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3E6492B" w14:textId="77777777" w:rsidR="00B0294D" w:rsidRDefault="00B0294D">
      <w:pPr>
        <w:pStyle w:val="BodyText"/>
        <w:spacing w:before="38"/>
        <w:rPr>
          <w:rFonts w:ascii="Times New Roman"/>
        </w:rPr>
      </w:pPr>
    </w:p>
    <w:p w14:paraId="4491D64E" w14:textId="77777777" w:rsidR="00B0294D" w:rsidRDefault="00A0745E">
      <w:pPr>
        <w:pStyle w:val="Heading1"/>
        <w:ind w:left="2" w:right="2"/>
        <w:jc w:val="center"/>
      </w:pPr>
      <w:r>
        <w:rPr>
          <w:u w:val="single"/>
        </w:rPr>
        <w:t>FOR</w:t>
      </w:r>
      <w:r>
        <w:rPr>
          <w:spacing w:val="-1"/>
          <w:u w:val="single"/>
        </w:rPr>
        <w:t xml:space="preserve"> </w:t>
      </w:r>
      <w:r>
        <w:rPr>
          <w:u w:val="single"/>
        </w:rPr>
        <w:t>IMMEDIATE</w:t>
      </w:r>
      <w:r>
        <w:rPr>
          <w:spacing w:val="-3"/>
          <w:u w:val="single"/>
        </w:rPr>
        <w:t xml:space="preserve"> </w:t>
      </w:r>
      <w:r>
        <w:rPr>
          <w:spacing w:val="-2"/>
          <w:u w:val="single"/>
        </w:rPr>
        <w:t>RELEASE</w:t>
      </w:r>
    </w:p>
    <w:p w14:paraId="29D74674" w14:textId="77777777" w:rsidR="00B0294D" w:rsidRDefault="00B0294D">
      <w:pPr>
        <w:pStyle w:val="BodyText"/>
        <w:spacing w:before="148"/>
        <w:rPr>
          <w:b/>
          <w:sz w:val="28"/>
        </w:rPr>
      </w:pPr>
    </w:p>
    <w:p w14:paraId="42B69AFF" w14:textId="5C8F9107" w:rsidR="00D14E7B" w:rsidRDefault="00A0745E" w:rsidP="008C7F25">
      <w:pPr>
        <w:pStyle w:val="Title"/>
      </w:pPr>
      <w:r>
        <w:t>Asep</w:t>
      </w:r>
      <w:r>
        <w:rPr>
          <w:spacing w:val="-5"/>
        </w:rPr>
        <w:t xml:space="preserve"> </w:t>
      </w:r>
      <w:r>
        <w:t>Medical</w:t>
      </w:r>
      <w:r>
        <w:rPr>
          <w:spacing w:val="-2"/>
        </w:rPr>
        <w:t xml:space="preserve"> </w:t>
      </w:r>
      <w:r w:rsidRPr="00D756E5">
        <w:t xml:space="preserve">Announces </w:t>
      </w:r>
      <w:r w:rsidR="00F70212">
        <w:t xml:space="preserve">$1 million </w:t>
      </w:r>
      <w:r w:rsidR="00F711AA">
        <w:t>Secured Loan Facility</w:t>
      </w:r>
    </w:p>
    <w:p w14:paraId="7264EDB8" w14:textId="77777777" w:rsidR="00B0294D" w:rsidRDefault="00B0294D" w:rsidP="00DE538F">
      <w:pPr>
        <w:pStyle w:val="BodyText"/>
        <w:rPr>
          <w:b/>
          <w:sz w:val="28"/>
        </w:rPr>
      </w:pPr>
    </w:p>
    <w:p w14:paraId="250097D1" w14:textId="34AEBC11" w:rsidR="008A2C0D" w:rsidRDefault="00A0745E" w:rsidP="00245983">
      <w:pPr>
        <w:spacing w:after="240" w:line="360" w:lineRule="auto"/>
        <w:rPr>
          <w:sz w:val="20"/>
          <w:szCs w:val="20"/>
        </w:rPr>
      </w:pPr>
      <w:r w:rsidRPr="0042765A">
        <w:rPr>
          <w:sz w:val="20"/>
          <w:szCs w:val="20"/>
        </w:rPr>
        <w:t>VANCOUVER,</w:t>
      </w:r>
      <w:r w:rsidRPr="0042765A">
        <w:rPr>
          <w:spacing w:val="-3"/>
          <w:sz w:val="20"/>
          <w:szCs w:val="20"/>
        </w:rPr>
        <w:t xml:space="preserve"> </w:t>
      </w:r>
      <w:r w:rsidRPr="0042765A">
        <w:rPr>
          <w:sz w:val="20"/>
          <w:szCs w:val="20"/>
        </w:rPr>
        <w:t>BC,</w:t>
      </w:r>
      <w:r w:rsidRPr="0042765A">
        <w:rPr>
          <w:spacing w:val="-1"/>
          <w:sz w:val="20"/>
          <w:szCs w:val="20"/>
        </w:rPr>
        <w:t xml:space="preserve"> </w:t>
      </w:r>
      <w:r w:rsidR="00F711AA">
        <w:rPr>
          <w:sz w:val="20"/>
          <w:szCs w:val="20"/>
        </w:rPr>
        <w:t xml:space="preserve">October </w:t>
      </w:r>
      <w:r w:rsidR="00144F67">
        <w:rPr>
          <w:sz w:val="20"/>
          <w:szCs w:val="20"/>
        </w:rPr>
        <w:t>8</w:t>
      </w:r>
      <w:r w:rsidRPr="0042765A">
        <w:rPr>
          <w:sz w:val="20"/>
          <w:szCs w:val="20"/>
        </w:rPr>
        <w:t>,</w:t>
      </w:r>
      <w:r w:rsidRPr="0042765A">
        <w:rPr>
          <w:spacing w:val="-2"/>
          <w:sz w:val="20"/>
          <w:szCs w:val="20"/>
        </w:rPr>
        <w:t xml:space="preserve"> </w:t>
      </w:r>
      <w:r w:rsidRPr="0042765A">
        <w:rPr>
          <w:sz w:val="20"/>
          <w:szCs w:val="20"/>
        </w:rPr>
        <w:t>2026</w:t>
      </w:r>
      <w:r w:rsidRPr="0042765A">
        <w:rPr>
          <w:spacing w:val="-5"/>
          <w:sz w:val="20"/>
          <w:szCs w:val="20"/>
        </w:rPr>
        <w:t xml:space="preserve"> </w:t>
      </w:r>
      <w:r w:rsidRPr="0042765A">
        <w:rPr>
          <w:sz w:val="20"/>
          <w:szCs w:val="20"/>
        </w:rPr>
        <w:t>—</w:t>
      </w:r>
      <w:r w:rsidRPr="0042765A">
        <w:rPr>
          <w:spacing w:val="1"/>
          <w:sz w:val="20"/>
          <w:szCs w:val="20"/>
        </w:rPr>
        <w:t xml:space="preserve"> </w:t>
      </w:r>
      <w:r w:rsidRPr="0042765A">
        <w:rPr>
          <w:b/>
          <w:bCs/>
          <w:sz w:val="20"/>
          <w:szCs w:val="20"/>
        </w:rPr>
        <w:t>Asep</w:t>
      </w:r>
      <w:r w:rsidRPr="0042765A">
        <w:rPr>
          <w:b/>
          <w:bCs/>
          <w:spacing w:val="-1"/>
          <w:sz w:val="20"/>
          <w:szCs w:val="20"/>
        </w:rPr>
        <w:t xml:space="preserve"> </w:t>
      </w:r>
      <w:r w:rsidRPr="0042765A">
        <w:rPr>
          <w:b/>
          <w:bCs/>
          <w:sz w:val="20"/>
          <w:szCs w:val="20"/>
        </w:rPr>
        <w:t>Medical</w:t>
      </w:r>
      <w:r w:rsidRPr="0042765A">
        <w:rPr>
          <w:b/>
          <w:bCs/>
          <w:spacing w:val="-2"/>
          <w:sz w:val="20"/>
          <w:szCs w:val="20"/>
        </w:rPr>
        <w:t xml:space="preserve"> </w:t>
      </w:r>
      <w:r w:rsidRPr="0042765A">
        <w:rPr>
          <w:b/>
          <w:bCs/>
          <w:sz w:val="20"/>
          <w:szCs w:val="20"/>
        </w:rPr>
        <w:t>Holdings</w:t>
      </w:r>
      <w:r w:rsidRPr="0042765A">
        <w:rPr>
          <w:b/>
          <w:bCs/>
          <w:spacing w:val="-3"/>
          <w:sz w:val="20"/>
          <w:szCs w:val="20"/>
        </w:rPr>
        <w:t xml:space="preserve"> </w:t>
      </w:r>
      <w:r w:rsidRPr="0042765A">
        <w:rPr>
          <w:b/>
          <w:bCs/>
          <w:sz w:val="20"/>
          <w:szCs w:val="20"/>
        </w:rPr>
        <w:t>Inc.</w:t>
      </w:r>
      <w:r w:rsidRPr="0042765A">
        <w:rPr>
          <w:b/>
          <w:bCs/>
          <w:spacing w:val="-1"/>
          <w:sz w:val="20"/>
          <w:szCs w:val="20"/>
        </w:rPr>
        <w:t xml:space="preserve"> </w:t>
      </w:r>
      <w:r w:rsidRPr="0042765A">
        <w:rPr>
          <w:b/>
          <w:bCs/>
          <w:sz w:val="20"/>
          <w:szCs w:val="20"/>
        </w:rPr>
        <w:t>(“Asep”</w:t>
      </w:r>
      <w:r w:rsidRPr="0042765A">
        <w:rPr>
          <w:b/>
          <w:bCs/>
          <w:spacing w:val="-2"/>
          <w:sz w:val="20"/>
          <w:szCs w:val="20"/>
        </w:rPr>
        <w:t xml:space="preserve"> </w:t>
      </w:r>
      <w:r w:rsidRPr="0042765A">
        <w:rPr>
          <w:sz w:val="20"/>
          <w:szCs w:val="20"/>
        </w:rPr>
        <w:t>or</w:t>
      </w:r>
      <w:r w:rsidRPr="0042765A">
        <w:rPr>
          <w:spacing w:val="-3"/>
          <w:sz w:val="20"/>
          <w:szCs w:val="20"/>
        </w:rPr>
        <w:t xml:space="preserve"> </w:t>
      </w:r>
      <w:r w:rsidRPr="0042765A">
        <w:rPr>
          <w:sz w:val="20"/>
          <w:szCs w:val="20"/>
        </w:rPr>
        <w:t>the</w:t>
      </w:r>
      <w:r w:rsidRPr="0042765A">
        <w:rPr>
          <w:spacing w:val="-2"/>
          <w:sz w:val="20"/>
          <w:szCs w:val="20"/>
        </w:rPr>
        <w:t xml:space="preserve"> </w:t>
      </w:r>
      <w:r w:rsidRPr="0042765A">
        <w:rPr>
          <w:b/>
          <w:bCs/>
          <w:sz w:val="20"/>
          <w:szCs w:val="20"/>
        </w:rPr>
        <w:t>“Company”)</w:t>
      </w:r>
      <w:r w:rsidRPr="0042765A">
        <w:rPr>
          <w:b/>
          <w:bCs/>
          <w:spacing w:val="-1"/>
          <w:sz w:val="20"/>
          <w:szCs w:val="20"/>
        </w:rPr>
        <w:t xml:space="preserve"> </w:t>
      </w:r>
      <w:r w:rsidRPr="0042765A">
        <w:rPr>
          <w:b/>
          <w:bCs/>
          <w:sz w:val="20"/>
          <w:szCs w:val="20"/>
        </w:rPr>
        <w:t>(CSE:</w:t>
      </w:r>
      <w:r w:rsidRPr="0042765A">
        <w:rPr>
          <w:b/>
          <w:bCs/>
          <w:spacing w:val="-2"/>
          <w:sz w:val="20"/>
          <w:szCs w:val="20"/>
        </w:rPr>
        <w:t xml:space="preserve"> </w:t>
      </w:r>
      <w:r w:rsidRPr="0042765A">
        <w:rPr>
          <w:b/>
          <w:bCs/>
          <w:sz w:val="20"/>
          <w:szCs w:val="20"/>
        </w:rPr>
        <w:t>ASEP)</w:t>
      </w:r>
      <w:r w:rsidRPr="0042765A">
        <w:rPr>
          <w:b/>
          <w:bCs/>
          <w:spacing w:val="-5"/>
          <w:sz w:val="20"/>
          <w:szCs w:val="20"/>
        </w:rPr>
        <w:t xml:space="preserve"> </w:t>
      </w:r>
      <w:r w:rsidRPr="0042765A">
        <w:rPr>
          <w:b/>
          <w:bCs/>
          <w:spacing w:val="-2"/>
          <w:sz w:val="20"/>
          <w:szCs w:val="20"/>
        </w:rPr>
        <w:t>(</w:t>
      </w:r>
      <w:proofErr w:type="gramStart"/>
      <w:r w:rsidRPr="0042765A">
        <w:rPr>
          <w:b/>
          <w:bCs/>
          <w:spacing w:val="-2"/>
          <w:sz w:val="20"/>
          <w:szCs w:val="20"/>
        </w:rPr>
        <w:t>OTCQB:</w:t>
      </w:r>
      <w:r w:rsidRPr="0042765A">
        <w:rPr>
          <w:b/>
          <w:bCs/>
          <w:sz w:val="20"/>
          <w:szCs w:val="20"/>
        </w:rPr>
        <w:t>SEPSF</w:t>
      </w:r>
      <w:proofErr w:type="gramEnd"/>
      <w:r w:rsidRPr="0042765A">
        <w:rPr>
          <w:b/>
          <w:bCs/>
          <w:sz w:val="20"/>
          <w:szCs w:val="20"/>
        </w:rPr>
        <w:t>)</w:t>
      </w:r>
      <w:r w:rsidRPr="0042765A">
        <w:rPr>
          <w:b/>
          <w:bCs/>
          <w:spacing w:val="-2"/>
          <w:sz w:val="20"/>
          <w:szCs w:val="20"/>
        </w:rPr>
        <w:t xml:space="preserve"> </w:t>
      </w:r>
      <w:r w:rsidRPr="0042765A">
        <w:rPr>
          <w:b/>
          <w:bCs/>
          <w:sz w:val="20"/>
          <w:szCs w:val="20"/>
        </w:rPr>
        <w:t>(FSE:</w:t>
      </w:r>
      <w:r w:rsidRPr="0042765A">
        <w:rPr>
          <w:b/>
          <w:bCs/>
          <w:spacing w:val="-2"/>
          <w:sz w:val="20"/>
          <w:szCs w:val="20"/>
        </w:rPr>
        <w:t xml:space="preserve"> </w:t>
      </w:r>
      <w:r w:rsidRPr="0042765A">
        <w:rPr>
          <w:b/>
          <w:bCs/>
          <w:sz w:val="20"/>
          <w:szCs w:val="20"/>
        </w:rPr>
        <w:t xml:space="preserve">JJ8) </w:t>
      </w:r>
      <w:r w:rsidRPr="0042765A">
        <w:rPr>
          <w:sz w:val="20"/>
          <w:szCs w:val="20"/>
        </w:rPr>
        <w:t>announces that</w:t>
      </w:r>
      <w:r w:rsidR="00F70212">
        <w:rPr>
          <w:sz w:val="20"/>
          <w:szCs w:val="20"/>
        </w:rPr>
        <w:t xml:space="preserve"> </w:t>
      </w:r>
      <w:r w:rsidR="00F70212" w:rsidRPr="00F70212">
        <w:rPr>
          <w:sz w:val="20"/>
          <w:szCs w:val="20"/>
        </w:rPr>
        <w:t xml:space="preserve">it has entered into a </w:t>
      </w:r>
      <w:r w:rsidR="00F70212">
        <w:rPr>
          <w:sz w:val="20"/>
          <w:szCs w:val="20"/>
        </w:rPr>
        <w:t>loan facility</w:t>
      </w:r>
      <w:r w:rsidR="00F70212" w:rsidRPr="00F70212">
        <w:rPr>
          <w:sz w:val="20"/>
          <w:szCs w:val="20"/>
        </w:rPr>
        <w:t xml:space="preserve"> agreement dated </w:t>
      </w:r>
      <w:r w:rsidR="00F70212">
        <w:rPr>
          <w:sz w:val="20"/>
          <w:szCs w:val="20"/>
        </w:rPr>
        <w:t>October</w:t>
      </w:r>
      <w:r w:rsidR="00F70212" w:rsidRPr="00F70212">
        <w:rPr>
          <w:sz w:val="20"/>
          <w:szCs w:val="20"/>
        </w:rPr>
        <w:t xml:space="preserve"> </w:t>
      </w:r>
      <w:r w:rsidR="00144F67">
        <w:rPr>
          <w:sz w:val="20"/>
          <w:szCs w:val="20"/>
        </w:rPr>
        <w:t>8</w:t>
      </w:r>
      <w:r w:rsidR="00F70212" w:rsidRPr="00F70212">
        <w:rPr>
          <w:sz w:val="20"/>
          <w:szCs w:val="20"/>
        </w:rPr>
        <w:t>, 2026 (the "</w:t>
      </w:r>
      <w:r w:rsidR="00F70212" w:rsidRPr="00F70212">
        <w:rPr>
          <w:b/>
          <w:bCs/>
          <w:sz w:val="20"/>
          <w:szCs w:val="20"/>
        </w:rPr>
        <w:t>Loan Agreement</w:t>
      </w:r>
      <w:r w:rsidR="00F70212" w:rsidRPr="00F70212">
        <w:rPr>
          <w:sz w:val="20"/>
          <w:szCs w:val="20"/>
        </w:rPr>
        <w:t xml:space="preserve">"), with an arm's length private </w:t>
      </w:r>
      <w:r w:rsidR="00F70212">
        <w:rPr>
          <w:sz w:val="20"/>
          <w:szCs w:val="20"/>
        </w:rPr>
        <w:t>lender</w:t>
      </w:r>
      <w:r w:rsidR="00F70212" w:rsidRPr="00F70212">
        <w:rPr>
          <w:sz w:val="20"/>
          <w:szCs w:val="20"/>
        </w:rPr>
        <w:t xml:space="preserve"> (the "</w:t>
      </w:r>
      <w:r w:rsidR="00F70212" w:rsidRPr="00F70212">
        <w:rPr>
          <w:b/>
          <w:bCs/>
          <w:sz w:val="20"/>
          <w:szCs w:val="20"/>
        </w:rPr>
        <w:t>Lender</w:t>
      </w:r>
      <w:r w:rsidR="00F70212" w:rsidRPr="00F70212">
        <w:rPr>
          <w:sz w:val="20"/>
          <w:szCs w:val="20"/>
        </w:rPr>
        <w:t>") in respect of a non-revolving term loan facility in the principal amount of US$1 million (the "</w:t>
      </w:r>
      <w:r w:rsidR="00F70212" w:rsidRPr="00F70212">
        <w:rPr>
          <w:b/>
          <w:bCs/>
          <w:sz w:val="20"/>
          <w:szCs w:val="20"/>
        </w:rPr>
        <w:t>Facility</w:t>
      </w:r>
      <w:r w:rsidR="00F70212" w:rsidRPr="00F70212">
        <w:rPr>
          <w:sz w:val="20"/>
          <w:szCs w:val="20"/>
        </w:rPr>
        <w:t>"). The proceeds of the Facility will be used to fund the Company's short-term working-capital requirements, ordinary-course operating expenses and general corporate purposes.</w:t>
      </w:r>
    </w:p>
    <w:p w14:paraId="3021A7BB" w14:textId="74C97CFA" w:rsidR="00F70212" w:rsidRPr="00F70212" w:rsidRDefault="00F70212" w:rsidP="00245983">
      <w:pPr>
        <w:spacing w:after="240" w:line="360" w:lineRule="auto"/>
        <w:rPr>
          <w:sz w:val="20"/>
          <w:szCs w:val="20"/>
          <w:lang w:val="en-CA"/>
        </w:rPr>
      </w:pPr>
      <w:r w:rsidRPr="00F70212">
        <w:rPr>
          <w:sz w:val="20"/>
          <w:szCs w:val="20"/>
          <w:lang w:val="en-CA"/>
        </w:rPr>
        <w:t xml:space="preserve">The Facility will be advanced </w:t>
      </w:r>
      <w:r>
        <w:rPr>
          <w:sz w:val="20"/>
          <w:szCs w:val="20"/>
          <w:lang w:val="en-CA"/>
        </w:rPr>
        <w:t>partially or fully no later than five (5) days following written request</w:t>
      </w:r>
      <w:r w:rsidRPr="00F70212">
        <w:rPr>
          <w:sz w:val="20"/>
          <w:szCs w:val="20"/>
          <w:lang w:val="en-CA"/>
        </w:rPr>
        <w:t xml:space="preserve"> and will mature </w:t>
      </w:r>
      <w:r>
        <w:rPr>
          <w:sz w:val="20"/>
          <w:szCs w:val="20"/>
          <w:lang w:val="en-CA"/>
        </w:rPr>
        <w:t>twenty-four (24)</w:t>
      </w:r>
      <w:r w:rsidRPr="00F70212">
        <w:rPr>
          <w:sz w:val="20"/>
          <w:szCs w:val="20"/>
          <w:lang w:val="en-CA"/>
        </w:rPr>
        <w:t xml:space="preserve"> months </w:t>
      </w:r>
      <w:r w:rsidR="006A7EE4">
        <w:rPr>
          <w:sz w:val="20"/>
          <w:szCs w:val="20"/>
          <w:lang w:val="en-CA"/>
        </w:rPr>
        <w:t>from the execution of the Facility (the “</w:t>
      </w:r>
      <w:r w:rsidR="006A7EE4" w:rsidRPr="006A7EE4">
        <w:rPr>
          <w:b/>
          <w:bCs/>
          <w:sz w:val="20"/>
          <w:szCs w:val="20"/>
          <w:lang w:val="en-CA"/>
        </w:rPr>
        <w:t>Maturity Date</w:t>
      </w:r>
      <w:r w:rsidR="006A7EE4">
        <w:rPr>
          <w:sz w:val="20"/>
          <w:szCs w:val="20"/>
          <w:lang w:val="en-CA"/>
        </w:rPr>
        <w:t>”)</w:t>
      </w:r>
      <w:r w:rsidRPr="00F70212">
        <w:rPr>
          <w:sz w:val="20"/>
          <w:szCs w:val="20"/>
          <w:lang w:val="en-CA"/>
        </w:rPr>
        <w:t xml:space="preserve">, subject to earlier acceleration following the occurrence and continuation of an event of default. The Facility will bear interest at a rate of </w:t>
      </w:r>
      <w:r w:rsidR="006A7EE4">
        <w:rPr>
          <w:sz w:val="20"/>
          <w:szCs w:val="20"/>
          <w:lang w:val="en-CA"/>
        </w:rPr>
        <w:t>12</w:t>
      </w:r>
      <w:r w:rsidRPr="00F70212">
        <w:rPr>
          <w:sz w:val="20"/>
          <w:szCs w:val="20"/>
          <w:lang w:val="en-CA"/>
        </w:rPr>
        <w:t>% per annum. The Company may voluntarily prepay the Facility</w:t>
      </w:r>
      <w:r w:rsidR="006A7EE4">
        <w:rPr>
          <w:sz w:val="20"/>
          <w:szCs w:val="20"/>
          <w:lang w:val="en-CA"/>
        </w:rPr>
        <w:t xml:space="preserve"> and all accrued interest, in whole or in part any time prior to the Maturity Date. </w:t>
      </w:r>
      <w:r w:rsidR="00441A62">
        <w:rPr>
          <w:sz w:val="20"/>
          <w:szCs w:val="20"/>
          <w:lang w:val="en-CA"/>
        </w:rPr>
        <w:t xml:space="preserve">The Facility is secured against a general security </w:t>
      </w:r>
      <w:r w:rsidR="00441A62" w:rsidRPr="00441A62">
        <w:rPr>
          <w:sz w:val="20"/>
          <w:szCs w:val="20"/>
          <w:lang w:val="en-CA"/>
        </w:rPr>
        <w:t xml:space="preserve">over all present and after-acquired personal property of the </w:t>
      </w:r>
      <w:r w:rsidR="00441A62">
        <w:rPr>
          <w:sz w:val="20"/>
          <w:szCs w:val="20"/>
          <w:lang w:val="en-CA"/>
        </w:rPr>
        <w:t>Company</w:t>
      </w:r>
      <w:r w:rsidR="00441A62" w:rsidRPr="00441A62">
        <w:rPr>
          <w:sz w:val="20"/>
          <w:szCs w:val="20"/>
          <w:lang w:val="en-CA"/>
        </w:rPr>
        <w:t>, including accounts, equipment, inventory, cash, contractual rights, intellectual property and all proceeds thereof.</w:t>
      </w:r>
    </w:p>
    <w:p w14:paraId="3F792C15" w14:textId="1D7689A4" w:rsidR="00F70212" w:rsidRDefault="00FA5D9B" w:rsidP="00245983">
      <w:pPr>
        <w:spacing w:after="240" w:line="360" w:lineRule="auto"/>
        <w:rPr>
          <w:sz w:val="20"/>
          <w:szCs w:val="20"/>
          <w:lang w:val="en-CA"/>
        </w:rPr>
      </w:pPr>
      <w:r w:rsidRPr="00FA5D9B">
        <w:rPr>
          <w:sz w:val="20"/>
          <w:szCs w:val="20"/>
          <w:lang w:val="en-CA"/>
        </w:rPr>
        <w:t>No securities of the Company will be issued in connection with the Facility, and no finder's fee, commission or loan bonus is payable.</w:t>
      </w:r>
      <w:r w:rsidR="00441A62">
        <w:rPr>
          <w:sz w:val="20"/>
          <w:szCs w:val="20"/>
          <w:lang w:val="en-CA"/>
        </w:rPr>
        <w:t xml:space="preserve"> </w:t>
      </w:r>
    </w:p>
    <w:p w14:paraId="5E2CA972" w14:textId="76EB1DF4" w:rsidR="006D161F" w:rsidRPr="006D161F" w:rsidRDefault="006D161F" w:rsidP="00245983">
      <w:pPr>
        <w:spacing w:after="240" w:line="360" w:lineRule="auto"/>
        <w:rPr>
          <w:sz w:val="20"/>
          <w:szCs w:val="20"/>
          <w:lang w:val="en-CA"/>
        </w:rPr>
      </w:pPr>
      <w:r w:rsidRPr="006D161F">
        <w:rPr>
          <w:sz w:val="20"/>
          <w:szCs w:val="20"/>
          <w:lang w:val="en-CA"/>
        </w:rPr>
        <w:t xml:space="preserve">The advance of funds under the Facility remains subject to the satisfaction or waiver of the conditions precedent contained in the Loan Agreement, and acceptance of the </w:t>
      </w:r>
      <w:r>
        <w:rPr>
          <w:sz w:val="20"/>
          <w:szCs w:val="20"/>
          <w:lang w:val="en-CA"/>
        </w:rPr>
        <w:t>Canadian Securities Exchange</w:t>
      </w:r>
      <w:r w:rsidRPr="006D161F">
        <w:rPr>
          <w:sz w:val="20"/>
          <w:szCs w:val="20"/>
          <w:lang w:val="en-CA"/>
        </w:rPr>
        <w:t>, to the extent required. Closing of the Facility is expected to occur on Friday, October 9, 2026.</w:t>
      </w:r>
    </w:p>
    <w:p w14:paraId="3F6D2E9F" w14:textId="77777777" w:rsidR="00B0294D" w:rsidRDefault="00A0745E" w:rsidP="00245983">
      <w:pPr>
        <w:pStyle w:val="Heading1"/>
      </w:pPr>
      <w:r>
        <w:t>ABOUT</w:t>
      </w:r>
      <w:r>
        <w:rPr>
          <w:spacing w:val="-3"/>
        </w:rPr>
        <w:t xml:space="preserve"> </w:t>
      </w:r>
      <w:r>
        <w:t>ASEP</w:t>
      </w:r>
      <w:r>
        <w:rPr>
          <w:spacing w:val="-5"/>
        </w:rPr>
        <w:t xml:space="preserve"> </w:t>
      </w:r>
      <w:r>
        <w:t>MEDICAL</w:t>
      </w:r>
      <w:r>
        <w:rPr>
          <w:spacing w:val="-3"/>
        </w:rPr>
        <w:t xml:space="preserve"> </w:t>
      </w:r>
      <w:r>
        <w:t>HOLDINGS</w:t>
      </w:r>
      <w:r>
        <w:rPr>
          <w:spacing w:val="-2"/>
        </w:rPr>
        <w:t xml:space="preserve"> </w:t>
      </w:r>
      <w:r>
        <w:rPr>
          <w:spacing w:val="-4"/>
        </w:rPr>
        <w:t>INC.</w:t>
      </w:r>
    </w:p>
    <w:p w14:paraId="5AA25D4E" w14:textId="539BD7D9" w:rsidR="00B0294D" w:rsidRDefault="00A0745E" w:rsidP="00245983">
      <w:pPr>
        <w:pStyle w:val="BodyText"/>
        <w:spacing w:before="121" w:line="360" w:lineRule="auto"/>
      </w:pPr>
      <w:r>
        <w:t>Asep Medical is a</w:t>
      </w:r>
      <w:r w:rsidR="000C4997">
        <w:t>n investment issuer focused on investing into</w:t>
      </w:r>
      <w:r>
        <w:t xml:space="preserve"> biotechnology research and development </w:t>
      </w:r>
      <w:r w:rsidR="000C4997">
        <w:t>assets and is</w:t>
      </w:r>
      <w:r>
        <w:t xml:space="preserve"> based in Victoria, BC, Canada. The Company possesses a valuable portfolio of global patents for innovative diagnostic and therapeutic medical technologies.</w:t>
      </w:r>
      <w:r>
        <w:rPr>
          <w:spacing w:val="-4"/>
        </w:rPr>
        <w:t xml:space="preserve"> </w:t>
      </w:r>
      <w:r>
        <w:t>These</w:t>
      </w:r>
      <w:r>
        <w:rPr>
          <w:spacing w:val="-3"/>
        </w:rPr>
        <w:t xml:space="preserve"> </w:t>
      </w:r>
      <w:r>
        <w:t>technologies</w:t>
      </w:r>
      <w:r>
        <w:rPr>
          <w:spacing w:val="-2"/>
        </w:rPr>
        <w:t xml:space="preserve"> </w:t>
      </w:r>
      <w:r>
        <w:t>were</w:t>
      </w:r>
      <w:r>
        <w:rPr>
          <w:spacing w:val="-3"/>
        </w:rPr>
        <w:t xml:space="preserve"> </w:t>
      </w:r>
      <w:r>
        <w:t>developed</w:t>
      </w:r>
      <w:r>
        <w:rPr>
          <w:spacing w:val="-4"/>
        </w:rPr>
        <w:t xml:space="preserve"> </w:t>
      </w:r>
      <w:r>
        <w:t>over</w:t>
      </w:r>
      <w:r>
        <w:rPr>
          <w:spacing w:val="-3"/>
        </w:rPr>
        <w:t xml:space="preserve"> </w:t>
      </w:r>
      <w:r>
        <w:t>the</w:t>
      </w:r>
      <w:r>
        <w:rPr>
          <w:spacing w:val="-3"/>
        </w:rPr>
        <w:t xml:space="preserve"> </w:t>
      </w:r>
      <w:r>
        <w:t>past</w:t>
      </w:r>
      <w:r>
        <w:rPr>
          <w:spacing w:val="-5"/>
        </w:rPr>
        <w:t xml:space="preserve"> </w:t>
      </w:r>
      <w:r>
        <w:t>decade</w:t>
      </w:r>
      <w:r>
        <w:rPr>
          <w:spacing w:val="-3"/>
        </w:rPr>
        <w:t xml:space="preserve"> </w:t>
      </w:r>
      <w:r>
        <w:t>at</w:t>
      </w:r>
      <w:r>
        <w:rPr>
          <w:spacing w:val="-6"/>
        </w:rPr>
        <w:t xml:space="preserve"> </w:t>
      </w:r>
      <w:r>
        <w:t>the</w:t>
      </w:r>
      <w:r>
        <w:rPr>
          <w:spacing w:val="-3"/>
        </w:rPr>
        <w:t xml:space="preserve"> </w:t>
      </w:r>
      <w:r>
        <w:t>University of</w:t>
      </w:r>
      <w:r>
        <w:rPr>
          <w:spacing w:val="-5"/>
        </w:rPr>
        <w:t xml:space="preserve"> </w:t>
      </w:r>
      <w:r>
        <w:t>British</w:t>
      </w:r>
      <w:r>
        <w:rPr>
          <w:spacing w:val="-4"/>
        </w:rPr>
        <w:t xml:space="preserve"> </w:t>
      </w:r>
      <w:r>
        <w:t>Columbia</w:t>
      </w:r>
      <w:r>
        <w:rPr>
          <w:spacing w:val="-4"/>
        </w:rPr>
        <w:t xml:space="preserve"> </w:t>
      </w:r>
      <w:r>
        <w:t xml:space="preserve">under the guidance of Dr. Robert E. W. Hancock, one of the world’s foremost microbiologists. Asep holds a </w:t>
      </w:r>
      <w:r w:rsidR="0095291C">
        <w:t>significant</w:t>
      </w:r>
      <w:r>
        <w:t xml:space="preserve"> interest in two private companies — Sepset Biosciences (Asep’s </w:t>
      </w:r>
      <w:proofErr w:type="spellStart"/>
      <w:r>
        <w:t>leadingproduct</w:t>
      </w:r>
      <w:proofErr w:type="spellEnd"/>
      <w:r>
        <w:t xml:space="preserve">, a sepsis diagnostic technology) and ABT Innovations (specializing in anti-biofilm technology). As the Company’s patented innovations address unmet medical needs, it presents a unique investment opportunity </w:t>
      </w:r>
      <w:r>
        <w:lastRenderedPageBreak/>
        <w:t xml:space="preserve">for both retail and institutional </w:t>
      </w:r>
      <w:r>
        <w:rPr>
          <w:spacing w:val="-2"/>
        </w:rPr>
        <w:t>investors.</w:t>
      </w:r>
    </w:p>
    <w:p w14:paraId="21E2677C" w14:textId="77777777" w:rsidR="0095291C" w:rsidRDefault="0095291C" w:rsidP="00245983">
      <w:pPr>
        <w:rPr>
          <w:i/>
          <w:sz w:val="20"/>
        </w:rPr>
      </w:pPr>
    </w:p>
    <w:p w14:paraId="05A8B3FA" w14:textId="77777777" w:rsidR="00B0294D" w:rsidRDefault="00A0745E" w:rsidP="00245983">
      <w:pPr>
        <w:rPr>
          <w:i/>
          <w:spacing w:val="-2"/>
          <w:sz w:val="20"/>
        </w:rPr>
      </w:pPr>
      <w:r>
        <w:rPr>
          <w:i/>
          <w:sz w:val="20"/>
        </w:rPr>
        <w:t>The</w:t>
      </w:r>
      <w:r>
        <w:rPr>
          <w:i/>
          <w:spacing w:val="-3"/>
          <w:sz w:val="20"/>
        </w:rPr>
        <w:t xml:space="preserve"> </w:t>
      </w:r>
      <w:r>
        <w:rPr>
          <w:i/>
          <w:sz w:val="20"/>
        </w:rPr>
        <w:t>CSE</w:t>
      </w:r>
      <w:r>
        <w:rPr>
          <w:i/>
          <w:spacing w:val="-5"/>
          <w:sz w:val="20"/>
        </w:rPr>
        <w:t xml:space="preserve"> </w:t>
      </w:r>
      <w:r>
        <w:rPr>
          <w:i/>
          <w:sz w:val="20"/>
        </w:rPr>
        <w:t>has</w:t>
      </w:r>
      <w:r>
        <w:rPr>
          <w:i/>
          <w:spacing w:val="-1"/>
          <w:sz w:val="20"/>
        </w:rPr>
        <w:t xml:space="preserve"> </w:t>
      </w:r>
      <w:r>
        <w:rPr>
          <w:i/>
          <w:sz w:val="20"/>
        </w:rPr>
        <w:t>not</w:t>
      </w:r>
      <w:r>
        <w:rPr>
          <w:i/>
          <w:spacing w:val="-4"/>
          <w:sz w:val="20"/>
        </w:rPr>
        <w:t xml:space="preserve"> </w:t>
      </w:r>
      <w:r>
        <w:rPr>
          <w:i/>
          <w:sz w:val="20"/>
        </w:rPr>
        <w:t>reviewed</w:t>
      </w:r>
      <w:r>
        <w:rPr>
          <w:i/>
          <w:spacing w:val="-1"/>
          <w:sz w:val="20"/>
        </w:rPr>
        <w:t xml:space="preserve"> </w:t>
      </w:r>
      <w:r>
        <w:rPr>
          <w:i/>
          <w:sz w:val="20"/>
        </w:rPr>
        <w:t>and</w:t>
      </w:r>
      <w:r>
        <w:rPr>
          <w:i/>
          <w:spacing w:val="-1"/>
          <w:sz w:val="20"/>
        </w:rPr>
        <w:t xml:space="preserve"> </w:t>
      </w:r>
      <w:r>
        <w:rPr>
          <w:i/>
          <w:sz w:val="20"/>
        </w:rPr>
        <w:t>does</w:t>
      </w:r>
      <w:r>
        <w:rPr>
          <w:i/>
          <w:spacing w:val="-6"/>
          <w:sz w:val="20"/>
        </w:rPr>
        <w:t xml:space="preserve"> </w:t>
      </w:r>
      <w:r>
        <w:rPr>
          <w:i/>
          <w:sz w:val="20"/>
        </w:rPr>
        <w:t>not</w:t>
      </w:r>
      <w:r>
        <w:rPr>
          <w:i/>
          <w:spacing w:val="-4"/>
          <w:sz w:val="20"/>
        </w:rPr>
        <w:t xml:space="preserve"> </w:t>
      </w:r>
      <w:r>
        <w:rPr>
          <w:i/>
          <w:sz w:val="20"/>
        </w:rPr>
        <w:t>accept</w:t>
      </w:r>
      <w:r>
        <w:rPr>
          <w:i/>
          <w:spacing w:val="-4"/>
          <w:sz w:val="20"/>
        </w:rPr>
        <w:t xml:space="preserve"> </w:t>
      </w:r>
      <w:r>
        <w:rPr>
          <w:i/>
          <w:sz w:val="20"/>
        </w:rPr>
        <w:t>responsibility</w:t>
      </w:r>
      <w:r>
        <w:rPr>
          <w:i/>
          <w:spacing w:val="-3"/>
          <w:sz w:val="20"/>
        </w:rPr>
        <w:t xml:space="preserve"> </w:t>
      </w:r>
      <w:r>
        <w:rPr>
          <w:i/>
          <w:sz w:val="20"/>
        </w:rPr>
        <w:t>for</w:t>
      </w:r>
      <w:r>
        <w:rPr>
          <w:i/>
          <w:spacing w:val="-1"/>
          <w:sz w:val="20"/>
        </w:rPr>
        <w:t xml:space="preserve"> </w:t>
      </w:r>
      <w:r>
        <w:rPr>
          <w:i/>
          <w:sz w:val="20"/>
        </w:rPr>
        <w:t>the</w:t>
      </w:r>
      <w:r>
        <w:rPr>
          <w:i/>
          <w:spacing w:val="-3"/>
          <w:sz w:val="20"/>
        </w:rPr>
        <w:t xml:space="preserve"> </w:t>
      </w:r>
      <w:r>
        <w:rPr>
          <w:i/>
          <w:sz w:val="20"/>
        </w:rPr>
        <w:t>accuracy</w:t>
      </w:r>
      <w:r>
        <w:rPr>
          <w:i/>
          <w:spacing w:val="-3"/>
          <w:sz w:val="20"/>
        </w:rPr>
        <w:t xml:space="preserve"> </w:t>
      </w:r>
      <w:r>
        <w:rPr>
          <w:i/>
          <w:sz w:val="20"/>
        </w:rPr>
        <w:t>or</w:t>
      </w:r>
      <w:r>
        <w:rPr>
          <w:i/>
          <w:spacing w:val="-1"/>
          <w:sz w:val="20"/>
        </w:rPr>
        <w:t xml:space="preserve"> </w:t>
      </w:r>
      <w:r>
        <w:rPr>
          <w:i/>
          <w:sz w:val="20"/>
        </w:rPr>
        <w:t>adequacy</w:t>
      </w:r>
      <w:r>
        <w:rPr>
          <w:i/>
          <w:spacing w:val="-7"/>
          <w:sz w:val="20"/>
        </w:rPr>
        <w:t xml:space="preserve"> </w:t>
      </w:r>
      <w:r>
        <w:rPr>
          <w:i/>
          <w:sz w:val="20"/>
        </w:rPr>
        <w:t>of</w:t>
      </w:r>
      <w:r>
        <w:rPr>
          <w:i/>
          <w:spacing w:val="-3"/>
          <w:sz w:val="20"/>
        </w:rPr>
        <w:t xml:space="preserve"> </w:t>
      </w:r>
      <w:r>
        <w:rPr>
          <w:i/>
          <w:sz w:val="20"/>
        </w:rPr>
        <w:t>this</w:t>
      </w:r>
      <w:r>
        <w:rPr>
          <w:i/>
          <w:spacing w:val="-1"/>
          <w:sz w:val="20"/>
        </w:rPr>
        <w:t xml:space="preserve"> </w:t>
      </w:r>
      <w:r>
        <w:rPr>
          <w:i/>
          <w:spacing w:val="-2"/>
          <w:sz w:val="20"/>
        </w:rPr>
        <w:t>release.</w:t>
      </w:r>
    </w:p>
    <w:p w14:paraId="340D2C94" w14:textId="77777777" w:rsidR="00C45678" w:rsidRPr="00C45678" w:rsidRDefault="00C45678" w:rsidP="00245983">
      <w:pPr>
        <w:rPr>
          <w:i/>
          <w:sz w:val="20"/>
        </w:rPr>
      </w:pPr>
    </w:p>
    <w:p w14:paraId="51CF371D" w14:textId="77777777" w:rsidR="007246EE" w:rsidRDefault="007246EE" w:rsidP="00245983">
      <w:pPr>
        <w:pStyle w:val="Heading1"/>
      </w:pPr>
    </w:p>
    <w:p w14:paraId="7873EA6D" w14:textId="1CB473E7" w:rsidR="00B0294D" w:rsidRDefault="00A0745E" w:rsidP="00245983">
      <w:pPr>
        <w:pStyle w:val="Heading1"/>
      </w:pPr>
      <w:r>
        <w:t>FOR</w:t>
      </w:r>
      <w:r>
        <w:rPr>
          <w:spacing w:val="-2"/>
        </w:rPr>
        <w:t xml:space="preserve"> </w:t>
      </w:r>
      <w:r>
        <w:t>MORE INFORMATION,</w:t>
      </w:r>
      <w:r>
        <w:rPr>
          <w:spacing w:val="-5"/>
        </w:rPr>
        <w:t xml:space="preserve"> </w:t>
      </w:r>
      <w:r>
        <w:t>PLEASE CONTACT</w:t>
      </w:r>
    </w:p>
    <w:p w14:paraId="11F54E70" w14:textId="77777777" w:rsidR="00B0294D" w:rsidRDefault="00A0745E" w:rsidP="00245983">
      <w:pPr>
        <w:pStyle w:val="BodyText"/>
        <w:spacing w:before="121" w:line="364" w:lineRule="auto"/>
        <w:ind w:right="6448"/>
      </w:pPr>
      <w:r>
        <w:t>Chris</w:t>
      </w:r>
      <w:r>
        <w:rPr>
          <w:spacing w:val="-12"/>
        </w:rPr>
        <w:t xml:space="preserve"> </w:t>
      </w:r>
      <w:r>
        <w:t>Dallin,</w:t>
      </w:r>
      <w:r>
        <w:rPr>
          <w:spacing w:val="-11"/>
        </w:rPr>
        <w:t xml:space="preserve"> </w:t>
      </w:r>
      <w:r>
        <w:t>Marketing</w:t>
      </w:r>
      <w:r>
        <w:rPr>
          <w:spacing w:val="-11"/>
        </w:rPr>
        <w:t xml:space="preserve"> </w:t>
      </w:r>
      <w:r>
        <w:t>Director ASEP Medical Holdings Inc.</w:t>
      </w:r>
    </w:p>
    <w:p w14:paraId="0ACED577" w14:textId="77777777" w:rsidR="00B0294D" w:rsidRDefault="00A0745E" w:rsidP="00245983">
      <w:pPr>
        <w:pStyle w:val="BodyText"/>
        <w:spacing w:line="238" w:lineRule="exact"/>
      </w:pPr>
      <w:r>
        <w:t>E.</w:t>
      </w:r>
      <w:r>
        <w:rPr>
          <w:spacing w:val="1"/>
        </w:rPr>
        <w:t xml:space="preserve"> </w:t>
      </w:r>
      <w:hyperlink r:id="rId7">
        <w:r w:rsidR="00B0294D">
          <w:rPr>
            <w:color w:val="0462C1"/>
            <w:spacing w:val="-2"/>
            <w:u w:val="single" w:color="0462C1"/>
          </w:rPr>
          <w:t>chris@asepmedical.com</w:t>
        </w:r>
      </w:hyperlink>
    </w:p>
    <w:p w14:paraId="3BDFE13D" w14:textId="77777777" w:rsidR="00B0294D" w:rsidRDefault="00A0745E" w:rsidP="00245983">
      <w:pPr>
        <w:pStyle w:val="BodyText"/>
        <w:spacing w:before="120"/>
      </w:pPr>
      <w:r>
        <w:t>T.</w:t>
      </w:r>
      <w:r>
        <w:rPr>
          <w:spacing w:val="-6"/>
        </w:rPr>
        <w:t xml:space="preserve"> </w:t>
      </w:r>
      <w:r>
        <w:t>+1</w:t>
      </w:r>
      <w:r>
        <w:rPr>
          <w:spacing w:val="-4"/>
        </w:rPr>
        <w:t xml:space="preserve"> </w:t>
      </w:r>
      <w:r>
        <w:t>(604)</w:t>
      </w:r>
      <w:r>
        <w:rPr>
          <w:spacing w:val="-3"/>
        </w:rPr>
        <w:t xml:space="preserve"> </w:t>
      </w:r>
      <w:r>
        <w:t>362-</w:t>
      </w:r>
      <w:r>
        <w:rPr>
          <w:spacing w:val="-4"/>
        </w:rPr>
        <w:t>3654</w:t>
      </w:r>
    </w:p>
    <w:p w14:paraId="6223EF57" w14:textId="77777777" w:rsidR="00B0294D" w:rsidRDefault="00B0294D" w:rsidP="00245983">
      <w:pPr>
        <w:pStyle w:val="BodyText"/>
        <w:spacing w:before="73"/>
      </w:pPr>
    </w:p>
    <w:p w14:paraId="17A1CD3A" w14:textId="77777777" w:rsidR="00B0294D" w:rsidRDefault="00A0745E" w:rsidP="00245983">
      <w:pPr>
        <w:pStyle w:val="Heading1"/>
      </w:pPr>
      <w:r>
        <w:t>FORWARD-LOOKING</w:t>
      </w:r>
      <w:r>
        <w:rPr>
          <w:spacing w:val="-4"/>
        </w:rPr>
        <w:t xml:space="preserve"> </w:t>
      </w:r>
      <w:r>
        <w:rPr>
          <w:spacing w:val="-2"/>
        </w:rPr>
        <w:t>STATEMENTS</w:t>
      </w:r>
    </w:p>
    <w:p w14:paraId="354ADDC6" w14:textId="040A9C5D" w:rsidR="00B0294D" w:rsidRDefault="00A0745E" w:rsidP="00245983">
      <w:pPr>
        <w:pStyle w:val="BodyText"/>
        <w:spacing w:before="121" w:line="360" w:lineRule="auto"/>
      </w:pPr>
      <w:r>
        <w:t>This news release contains certain “forward-looking statements” within the meaning of such statements under applicable</w:t>
      </w:r>
      <w:r>
        <w:rPr>
          <w:spacing w:val="-4"/>
        </w:rPr>
        <w:t xml:space="preserve"> </w:t>
      </w:r>
      <w:r>
        <w:t>securities</w:t>
      </w:r>
      <w:r>
        <w:rPr>
          <w:spacing w:val="-3"/>
        </w:rPr>
        <w:t xml:space="preserve"> </w:t>
      </w:r>
      <w:r>
        <w:t>law.</w:t>
      </w:r>
      <w:r>
        <w:rPr>
          <w:spacing w:val="-5"/>
        </w:rPr>
        <w:t xml:space="preserve"> </w:t>
      </w:r>
      <w:r>
        <w:t>Forward-looking</w:t>
      </w:r>
      <w:r>
        <w:rPr>
          <w:spacing w:val="-4"/>
        </w:rPr>
        <w:t xml:space="preserve"> </w:t>
      </w:r>
      <w:r>
        <w:t>statements</w:t>
      </w:r>
      <w:r>
        <w:rPr>
          <w:spacing w:val="-3"/>
        </w:rPr>
        <w:t xml:space="preserve"> </w:t>
      </w:r>
      <w:r>
        <w:t>are</w:t>
      </w:r>
      <w:r>
        <w:rPr>
          <w:spacing w:val="-4"/>
        </w:rPr>
        <w:t xml:space="preserve"> </w:t>
      </w:r>
      <w:r>
        <w:t>frequently</w:t>
      </w:r>
      <w:r>
        <w:rPr>
          <w:spacing w:val="-5"/>
        </w:rPr>
        <w:t xml:space="preserve"> </w:t>
      </w:r>
      <w:r>
        <w:t>characterized</w:t>
      </w:r>
      <w:r>
        <w:rPr>
          <w:spacing w:val="-5"/>
        </w:rPr>
        <w:t xml:space="preserve"> </w:t>
      </w:r>
      <w:r>
        <w:t>by</w:t>
      </w:r>
      <w:r>
        <w:rPr>
          <w:spacing w:val="-5"/>
        </w:rPr>
        <w:t xml:space="preserve"> </w:t>
      </w:r>
      <w:r>
        <w:t>words</w:t>
      </w:r>
      <w:r>
        <w:rPr>
          <w:spacing w:val="-3"/>
        </w:rPr>
        <w:t xml:space="preserve"> </w:t>
      </w:r>
      <w:r>
        <w:t>such</w:t>
      </w:r>
      <w:r>
        <w:rPr>
          <w:spacing w:val="-5"/>
        </w:rPr>
        <w:t xml:space="preserve"> </w:t>
      </w:r>
      <w:r>
        <w:t>as</w:t>
      </w:r>
      <w:r>
        <w:rPr>
          <w:spacing w:val="-3"/>
        </w:rPr>
        <w:t xml:space="preserve"> </w:t>
      </w:r>
      <w:r>
        <w:t>“anticipates,” “plans,” “continues,” “expects,” “projects,” “intends,” “believes,” “estimates,” “may,” “will,” “potential,” “proposed,” “positioned” and</w:t>
      </w:r>
      <w:r>
        <w:rPr>
          <w:spacing w:val="-1"/>
        </w:rPr>
        <w:t xml:space="preserve"> </w:t>
      </w:r>
      <w:r>
        <w:t>other similar words, or statements that</w:t>
      </w:r>
      <w:r>
        <w:rPr>
          <w:spacing w:val="-2"/>
        </w:rPr>
        <w:t xml:space="preserve"> </w:t>
      </w:r>
      <w:r>
        <w:t>certain</w:t>
      </w:r>
      <w:r>
        <w:rPr>
          <w:spacing w:val="-1"/>
        </w:rPr>
        <w:t xml:space="preserve"> </w:t>
      </w:r>
      <w:r>
        <w:t xml:space="preserve">events or conditions “may” or “will” occur. These statements include, but are not limited to, </w:t>
      </w:r>
      <w:r w:rsidR="009221D7" w:rsidRPr="009221D7">
        <w:t xml:space="preserve">statements with respect to the </w:t>
      </w:r>
      <w:r w:rsidR="001F32CD">
        <w:t xml:space="preserve">expected retention by Asep of a 45% voting interest and 5% preferred share interest into Sepset and ABT; the expectation that no securities of Asep will be issued in connection with the Transaction; </w:t>
      </w:r>
      <w:r w:rsidR="009221D7" w:rsidRPr="009221D7">
        <w:t xml:space="preserve">the receipt of regulatory approval for the </w:t>
      </w:r>
      <w:r w:rsidR="001F32CD">
        <w:t xml:space="preserve">Transaction; </w:t>
      </w:r>
      <w:r w:rsidR="001F32CD" w:rsidRPr="001F32CD">
        <w:t xml:space="preserve">the anticipated absence of shareholder approval; the expected strategic relationship among </w:t>
      </w:r>
      <w:r w:rsidR="001F32CD">
        <w:t>Asep</w:t>
      </w:r>
      <w:r w:rsidR="001F32CD" w:rsidRPr="001F32CD">
        <w:t xml:space="preserve">, </w:t>
      </w:r>
      <w:r w:rsidR="001F32CD">
        <w:t>ABT</w:t>
      </w:r>
      <w:r w:rsidR="001F32CD" w:rsidRPr="001F32CD">
        <w:t xml:space="preserve"> and </w:t>
      </w:r>
      <w:r w:rsidR="001F32CD">
        <w:t>Sepset</w:t>
      </w:r>
      <w:r w:rsidR="001F32CD" w:rsidRPr="001F32CD">
        <w:t>; the parties' ability to collaborate and obtain access to customers, technology, data, networks and commercial opportunities</w:t>
      </w:r>
      <w:r w:rsidR="001F32CD">
        <w:t xml:space="preserve">; </w:t>
      </w:r>
      <w:r w:rsidR="001F32CD" w:rsidRPr="00197035">
        <w:t>the strategic direction and business plans of Asep, ABT and Sepset</w:t>
      </w:r>
      <w:r w:rsidR="00197035" w:rsidRPr="00197035">
        <w:t>; the finalization and performance of the agreements; the parties will be able to identify and implement commercially viable collaboration opportunities; Asep will maintain access to vendors, infrastructure and customers; Asep will continue to operate independently; and general economic, capital-market, technology and regulatory conditions will not change materially</w:t>
      </w:r>
      <w:r w:rsidRPr="00197035">
        <w:t>. Various</w:t>
      </w:r>
      <w:r>
        <w:t xml:space="preserve"> assumptions were used in drawing conclusions or making the predictions contained in the forward-looking statements throughout this news release. Forward-looking statements are based on the opinions and estimates of management </w:t>
      </w:r>
      <w:r w:rsidR="00DD06A9">
        <w:t>on</w:t>
      </w:r>
      <w:r>
        <w:t xml:space="preserve"> the date the statements are made and are subject to a variety of risks, including </w:t>
      </w:r>
      <w:r w:rsidR="002A1BA5" w:rsidRPr="002A1BA5">
        <w:t xml:space="preserve">risks associated with the business of the </w:t>
      </w:r>
      <w:r w:rsidR="002A1BA5" w:rsidRPr="00197035">
        <w:t>Company</w:t>
      </w:r>
      <w:r w:rsidR="00197035">
        <w:t xml:space="preserve"> and the Company’s ability to generate revenue in the future.</w:t>
      </w:r>
      <w:r w:rsidR="002A1BA5">
        <w:t xml:space="preserve"> </w:t>
      </w:r>
    </w:p>
    <w:p w14:paraId="01FDCDFC" w14:textId="6D6DCC0E" w:rsidR="00D60AF9" w:rsidRPr="00D60AF9" w:rsidRDefault="00D60AF9" w:rsidP="00245983">
      <w:pPr>
        <w:pStyle w:val="BodyText"/>
        <w:spacing w:before="121" w:line="360" w:lineRule="auto"/>
        <w:rPr>
          <w:lang w:val="en-CA"/>
        </w:rPr>
      </w:pPr>
      <w:r w:rsidRPr="00D60AF9">
        <w:rPr>
          <w:lang w:val="en-CA"/>
        </w:rPr>
        <w:t>This news release contains forward-looking information within the meaning of applicable securities laws, including statements relating to the funding of the Facility, the intended use of proceeds, the execution and delivery of the applicable security documents</w:t>
      </w:r>
      <w:r>
        <w:rPr>
          <w:lang w:val="en-CA"/>
        </w:rPr>
        <w:t xml:space="preserve"> </w:t>
      </w:r>
      <w:r w:rsidRPr="00D60AF9">
        <w:rPr>
          <w:lang w:val="en-CA"/>
        </w:rPr>
        <w:t>and the Company's ability to service and repay the Facility.</w:t>
      </w:r>
    </w:p>
    <w:p w14:paraId="0A91016D" w14:textId="77777777" w:rsidR="00DE538F" w:rsidRDefault="00DE538F" w:rsidP="00245983">
      <w:pPr>
        <w:rPr>
          <w:sz w:val="20"/>
          <w:szCs w:val="20"/>
          <w:lang w:val="en-CA"/>
        </w:rPr>
      </w:pPr>
      <w:r>
        <w:rPr>
          <w:lang w:val="en-CA"/>
        </w:rPr>
        <w:br w:type="page"/>
      </w:r>
    </w:p>
    <w:p w14:paraId="5299CF80" w14:textId="77777777" w:rsidR="00DE538F" w:rsidRDefault="00DE538F" w:rsidP="00245983">
      <w:pPr>
        <w:pStyle w:val="BodyText"/>
        <w:spacing w:before="121" w:line="360" w:lineRule="auto"/>
        <w:rPr>
          <w:lang w:val="en-CA"/>
        </w:rPr>
      </w:pPr>
    </w:p>
    <w:p w14:paraId="00D3E1DE" w14:textId="495B6761" w:rsidR="00D60AF9" w:rsidRPr="00D60AF9" w:rsidRDefault="00D60AF9" w:rsidP="00245983">
      <w:pPr>
        <w:pStyle w:val="BodyText"/>
        <w:spacing w:before="121" w:line="360" w:lineRule="auto"/>
        <w:rPr>
          <w:lang w:val="en-CA"/>
        </w:rPr>
      </w:pPr>
      <w:r w:rsidRPr="00D60AF9">
        <w:rPr>
          <w:lang w:val="en-CA"/>
        </w:rPr>
        <w:t xml:space="preserve">Forward-looking information is based on management's current expectations, assumptions and estimates and is subject to risks, uncertainties and other factors that may cause actual results or events to differ materially from those expressed or implied by such forward-looking information. These risks and uncertainties include, among others, the risk that the conditions precedent to funding are not satisfied or waived, any required acceptance of the </w:t>
      </w:r>
      <w:r>
        <w:rPr>
          <w:lang w:val="en-CA"/>
        </w:rPr>
        <w:t xml:space="preserve">Canadian Securities Exchange </w:t>
      </w:r>
      <w:r w:rsidRPr="00D60AF9">
        <w:rPr>
          <w:lang w:val="en-CA"/>
        </w:rPr>
        <w:t>is not obtained, the applicable security documents are not completed on the anticipated terms or at all, anticipated receivables are not realized, the Company does not generate sufficient cash flow to service or repay the Facility, and other risks described in the Company's continuous disclosure filings available under its profile on SEDAR+.</w:t>
      </w:r>
    </w:p>
    <w:p w14:paraId="142AB525" w14:textId="261D5AA7" w:rsidR="00D14E7B" w:rsidRPr="00D60AF9" w:rsidRDefault="00D60AF9" w:rsidP="00245983">
      <w:pPr>
        <w:pStyle w:val="BodyText"/>
        <w:spacing w:before="121" w:line="360" w:lineRule="auto"/>
        <w:rPr>
          <w:lang w:val="en-CA"/>
        </w:rPr>
      </w:pPr>
      <w:r>
        <w:t>Additional</w:t>
      </w:r>
      <w:r>
        <w:rPr>
          <w:spacing w:val="-4"/>
        </w:rPr>
        <w:t xml:space="preserve"> </w:t>
      </w:r>
      <w:r>
        <w:t>risk</w:t>
      </w:r>
      <w:r>
        <w:rPr>
          <w:spacing w:val="-4"/>
        </w:rPr>
        <w:t xml:space="preserve"> </w:t>
      </w:r>
      <w:r>
        <w:t>actors are identified in the Asep Medical Holdings Inc. prospectus dated November 9, 2021, and in the Company’s management</w:t>
      </w:r>
      <w:r>
        <w:rPr>
          <w:spacing w:val="-2"/>
        </w:rPr>
        <w:t xml:space="preserve"> </w:t>
      </w:r>
      <w:r>
        <w:t>discussion</w:t>
      </w:r>
      <w:r>
        <w:rPr>
          <w:spacing w:val="-1"/>
        </w:rPr>
        <w:t xml:space="preserve"> </w:t>
      </w:r>
      <w:r>
        <w:t>and</w:t>
      </w:r>
      <w:r>
        <w:rPr>
          <w:spacing w:val="-1"/>
        </w:rPr>
        <w:t xml:space="preserve"> </w:t>
      </w:r>
      <w:r>
        <w:t>analysis, available for review under the Company’s profile at</w:t>
      </w:r>
      <w:r>
        <w:rPr>
          <w:spacing w:val="-2"/>
        </w:rPr>
        <w:t xml:space="preserve"> </w:t>
      </w:r>
      <w:hyperlink r:id="rId8">
        <w:r>
          <w:t>www.sedarplus.ca.</w:t>
        </w:r>
      </w:hyperlink>
      <w:r>
        <w:rPr>
          <w:spacing w:val="-1"/>
        </w:rPr>
        <w:t xml:space="preserve"> </w:t>
      </w:r>
      <w:r>
        <w:t>Asep Medical Holdings Inc. undertakes no obligation to update or revise any forward-looking statements, except as required by applicable law.</w:t>
      </w:r>
    </w:p>
    <w:sectPr w:rsidR="00D14E7B" w:rsidRPr="00D60AF9">
      <w:headerReference w:type="default" r:id="rId9"/>
      <w:footerReference w:type="default" r:id="rId10"/>
      <w:pgSz w:w="12240" w:h="15840"/>
      <w:pgMar w:top="2420" w:right="1440" w:bottom="1160" w:left="1440" w:header="1036" w:footer="96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EBC023A" w14:textId="77777777" w:rsidR="006A67B8" w:rsidRDefault="006A67B8">
      <w:r>
        <w:separator/>
      </w:r>
    </w:p>
  </w:endnote>
  <w:endnote w:type="continuationSeparator" w:id="0">
    <w:p w14:paraId="0E1598AB" w14:textId="77777777" w:rsidR="006A67B8" w:rsidRDefault="006A67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1D3951" w14:textId="77777777" w:rsidR="00B0294D" w:rsidRDefault="00A0745E">
    <w:pPr>
      <w:pStyle w:val="BodyText"/>
      <w:spacing w:line="14" w:lineRule="auto"/>
    </w:pPr>
    <w:r>
      <w:rPr>
        <w:noProof/>
      </w:rPr>
      <mc:AlternateContent>
        <mc:Choice Requires="wps">
          <w:drawing>
            <wp:anchor distT="0" distB="0" distL="0" distR="0" simplePos="0" relativeHeight="251657728" behindDoc="1" locked="0" layoutInCell="1" allowOverlap="1" wp14:anchorId="1D77770C" wp14:editId="0B1EB61E">
              <wp:simplePos x="0" y="0"/>
              <wp:positionH relativeFrom="page">
                <wp:posOffset>6771893</wp:posOffset>
              </wp:positionH>
              <wp:positionV relativeFrom="page">
                <wp:posOffset>9308782</wp:posOffset>
              </wp:positionV>
              <wp:extent cx="140970" cy="127000"/>
              <wp:effectExtent l="0" t="0" r="0" b="0"/>
              <wp:wrapNone/>
              <wp:docPr id="3" name="Textbox 3"/>
              <wp:cNvGraphicFramePr/>
              <a:graphic xmlns:a="http://schemas.openxmlformats.org/drawingml/2006/main">
                <a:graphicData uri="http://schemas.microsoft.com/office/word/2010/wordprocessingShape">
                  <wps:wsp>
                    <wps:cNvSpPr txBox="1"/>
                    <wps:spPr>
                      <a:xfrm>
                        <a:off x="0" y="0"/>
                        <a:ext cx="140970" cy="127000"/>
                      </a:xfrm>
                      <a:prstGeom prst="rect">
                        <a:avLst/>
                      </a:prstGeom>
                    </wps:spPr>
                    <wps:txbx>
                      <w:txbxContent>
                        <w:p w14:paraId="46585501" w14:textId="77777777" w:rsidR="00B0294D" w:rsidRDefault="00A0745E">
                          <w:pPr>
                            <w:spacing w:line="183" w:lineRule="exact"/>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1</w:t>
                          </w:r>
                          <w:r>
                            <w:rPr>
                              <w:spacing w:val="-10"/>
                              <w:sz w:val="16"/>
                            </w:rPr>
                            <w:fldChar w:fldCharType="end"/>
                          </w:r>
                        </w:p>
                      </w:txbxContent>
                    </wps:txbx>
                    <wps:bodyPr wrap="square" lIns="0" tIns="0" rIns="0" bIns="0" rtlCol="0"/>
                  </wps:wsp>
                </a:graphicData>
              </a:graphic>
            </wp:anchor>
          </w:drawing>
        </mc:Choice>
        <mc:Fallback>
          <w:pict>
            <v:shapetype w14:anchorId="1D77770C" id="_x0000_t202" coordsize="21600,21600" o:spt="202" path="m,l,21600r21600,l21600,xe">
              <v:stroke joinstyle="miter"/>
              <v:path gradientshapeok="t" o:connecttype="rect"/>
            </v:shapetype>
            <v:shape id="Textbox 3" o:spid="_x0000_s1027" type="#_x0000_t202" style="position:absolute;margin-left:533.2pt;margin-top:732.95pt;width:11.1pt;height:10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" filled="f" stroked="f">
              <v:textbox inset="0,0,0,0">
                <w:txbxContent>
                  <w:p w14:paraId="46585501" w14:textId="77777777" w:rsidR="00B0294D" w:rsidRDefault="00A0745E">
                    <w:pPr>
                      <w:spacing w:line="183" w:lineRule="exact"/>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1</w:t>
                    </w:r>
                    <w:r>
                      <w:rPr>
                        <w:spacing w:val="-10"/>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F7BC133" w14:textId="77777777" w:rsidR="006A67B8" w:rsidRDefault="006A67B8">
      <w:r>
        <w:separator/>
      </w:r>
    </w:p>
  </w:footnote>
  <w:footnote w:type="continuationSeparator" w:id="0">
    <w:p w14:paraId="41ABAE07" w14:textId="77777777" w:rsidR="006A67B8" w:rsidRDefault="006A67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3C7385" w14:textId="77777777" w:rsidR="00B0294D" w:rsidRDefault="00A0745E">
    <w:pPr>
      <w:pStyle w:val="BodyText"/>
      <w:spacing w:line="14" w:lineRule="auto"/>
    </w:pPr>
    <w:r>
      <w:rPr>
        <w:noProof/>
      </w:rPr>
      <w:drawing>
        <wp:anchor distT="0" distB="0" distL="0" distR="0" simplePos="0" relativeHeight="251656704" behindDoc="1" locked="0" layoutInCell="1" allowOverlap="1" wp14:anchorId="769A6A41" wp14:editId="1CEB2C09">
          <wp:simplePos x="0" y="0"/>
          <wp:positionH relativeFrom="page">
            <wp:posOffset>3166885</wp:posOffset>
          </wp:positionH>
          <wp:positionV relativeFrom="page">
            <wp:posOffset>657630</wp:posOffset>
          </wp:positionV>
          <wp:extent cx="1213332" cy="664683"/>
          <wp:effectExtent l="0" t="0" r="0" b="0"/>
          <wp:wrapNone/>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213332" cy="664683"/>
                  </a:xfrm>
                  <a:prstGeom prst="rect">
                    <a:avLst/>
                  </a:prstGeom>
                </pic:spPr>
              </pic:pic>
            </a:graphicData>
          </a:graphic>
        </wp:anchor>
      </w:drawing>
    </w:r>
    <w:r>
      <w:rPr>
        <w:noProof/>
      </w:rPr>
      <mc:AlternateContent>
        <mc:Choice Requires="wps">
          <w:drawing>
            <wp:anchor distT="0" distB="0" distL="0" distR="0" simplePos="0" relativeHeight="251658752" behindDoc="1" locked="0" layoutInCell="1" allowOverlap="1" wp14:anchorId="050528D2" wp14:editId="31FBA1B5">
              <wp:simplePos x="0" y="0"/>
              <wp:positionH relativeFrom="page">
                <wp:posOffset>3141345</wp:posOffset>
              </wp:positionH>
              <wp:positionV relativeFrom="page">
                <wp:posOffset>1397635</wp:posOffset>
              </wp:positionV>
              <wp:extent cx="1490345" cy="156845"/>
              <wp:effectExtent l="0" t="0" r="0" b="0"/>
              <wp:wrapNone/>
              <wp:docPr id="2" name="Textbox 2"/>
              <wp:cNvGraphicFramePr/>
              <a:graphic xmlns:a="http://schemas.openxmlformats.org/drawingml/2006/main">
                <a:graphicData uri="http://schemas.microsoft.com/office/word/2010/wordprocessingShape">
                  <wps:wsp>
                    <wps:cNvSpPr txBox="1"/>
                    <wps:spPr>
                      <a:xfrm>
                        <a:off x="0" y="0"/>
                        <a:ext cx="1490345" cy="156845"/>
                      </a:xfrm>
                      <a:prstGeom prst="rect">
                        <a:avLst/>
                      </a:prstGeom>
                    </wps:spPr>
                    <wps:txbx>
                      <w:txbxContent>
                        <w:p w14:paraId="343D5D90" w14:textId="77777777" w:rsidR="00B0294D" w:rsidRDefault="00A0745E">
                          <w:pPr>
                            <w:pStyle w:val="BodyText"/>
                            <w:spacing w:line="232" w:lineRule="exact"/>
                            <w:ind w:left="20"/>
                          </w:pPr>
                          <w:r>
                            <w:rPr>
                              <w:rFonts w:ascii="Sylfaen"/>
                              <w:color w:val="585858"/>
                            </w:rPr>
                            <w:t>Asep</w:t>
                          </w:r>
                          <w:r>
                            <w:rPr>
                              <w:rFonts w:ascii="Sylfaen"/>
                              <w:color w:val="585858"/>
                              <w:spacing w:val="-3"/>
                            </w:rPr>
                            <w:t xml:space="preserve"> </w:t>
                          </w:r>
                          <w:r>
                            <w:rPr>
                              <w:rFonts w:ascii="Sylfaen"/>
                              <w:color w:val="585858"/>
                            </w:rPr>
                            <w:t>Medical</w:t>
                          </w:r>
                          <w:r>
                            <w:rPr>
                              <w:rFonts w:ascii="Sylfaen"/>
                              <w:color w:val="585858"/>
                              <w:spacing w:val="-5"/>
                            </w:rPr>
                            <w:t xml:space="preserve"> </w:t>
                          </w:r>
                          <w:r>
                            <w:rPr>
                              <w:rFonts w:ascii="Sylfaen"/>
                              <w:color w:val="585858"/>
                            </w:rPr>
                            <w:t>Holdings</w:t>
                          </w:r>
                          <w:r>
                            <w:rPr>
                              <w:rFonts w:ascii="Sylfaen"/>
                              <w:color w:val="585858"/>
                              <w:spacing w:val="-4"/>
                            </w:rPr>
                            <w:t xml:space="preserve"> Inc</w:t>
                          </w:r>
                          <w:r>
                            <w:rPr>
                              <w:color w:val="585858"/>
                              <w:spacing w:val="-4"/>
                            </w:rPr>
                            <w:t>.</w:t>
                          </w:r>
                        </w:p>
                      </w:txbxContent>
                    </wps:txbx>
                    <wps:bodyPr wrap="square" lIns="0" tIns="0" rIns="0" bIns="0" rtlCol="0"/>
                  </wps:wsp>
                </a:graphicData>
              </a:graphic>
            </wp:anchor>
          </w:drawing>
        </mc:Choice>
        <mc:Fallback>
          <w:pict>
            <v:shapetype w14:anchorId="050528D2" id="_x0000_t202" coordsize="21600,21600" o:spt="202" path="m,l,21600r21600,l21600,xe">
              <v:stroke joinstyle="miter"/>
              <v:path gradientshapeok="t" o:connecttype="rect"/>
            </v:shapetype>
            <v:shape id="Textbox 2" o:spid="_x0000_s1026" type="#_x0000_t202" style="position:absolute;margin-left:247.35pt;margin-top:110.05pt;width:117.35pt;height:12.35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" filled="f" stroked="f">
              <v:textbox inset="0,0,0,0">
                <w:txbxContent>
                  <w:p w14:paraId="343D5D90" w14:textId="77777777" w:rsidR="00B0294D" w:rsidRDefault="00A0745E">
                    <w:pPr>
                      <w:pStyle w:val="BodyText"/>
                      <w:spacing w:line="232" w:lineRule="exact"/>
                      <w:ind w:left="20"/>
                    </w:pPr>
                    <w:proofErr w:type="spellStart"/>
                    <w:r>
                      <w:rPr>
                        <w:rFonts w:ascii="Sylfaen"/>
                        <w:color w:val="585858"/>
                      </w:rPr>
                      <w:t>Asep</w:t>
                    </w:r>
                    <w:proofErr w:type="spellEnd"/>
                    <w:r>
                      <w:rPr>
                        <w:rFonts w:ascii="Sylfaen"/>
                        <w:color w:val="585858"/>
                        <w:spacing w:val="-3"/>
                      </w:rPr>
                      <w:t xml:space="preserve"> </w:t>
                    </w:r>
                    <w:r>
                      <w:rPr>
                        <w:rFonts w:ascii="Sylfaen"/>
                        <w:color w:val="585858"/>
                      </w:rPr>
                      <w:t>Medical</w:t>
                    </w:r>
                    <w:r>
                      <w:rPr>
                        <w:rFonts w:ascii="Sylfaen"/>
                        <w:color w:val="585858"/>
                        <w:spacing w:val="-5"/>
                      </w:rPr>
                      <w:t xml:space="preserve"> </w:t>
                    </w:r>
                    <w:r>
                      <w:rPr>
                        <w:rFonts w:ascii="Sylfaen"/>
                        <w:color w:val="585858"/>
                      </w:rPr>
                      <w:t>Holdings</w:t>
                    </w:r>
                    <w:r>
                      <w:rPr>
                        <w:rFonts w:ascii="Sylfaen"/>
                        <w:color w:val="585858"/>
                        <w:spacing w:val="-4"/>
                      </w:rPr>
                      <w:t xml:space="preserve"> Inc</w:t>
                    </w:r>
                    <w:r>
                      <w:rPr>
                        <w:color w:val="585858"/>
                        <w:spacing w:val="-4"/>
                      </w:rPr>
                      <w:t>.</w:t>
                    </w:r>
                  </w:p>
                </w:txbxContent>
              </v:textbox>
              <w10:wrap anchorx="page" anchory="page"/>
            </v:shape>
          </w:pict>
        </mc:Fallback>
      </mc:AlternateConten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5"/>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94D"/>
    <w:rsid w:val="00001199"/>
    <w:rsid w:val="00012DF1"/>
    <w:rsid w:val="0005296C"/>
    <w:rsid w:val="000A1B04"/>
    <w:rsid w:val="000B32E8"/>
    <w:rsid w:val="000C4997"/>
    <w:rsid w:val="000C5B69"/>
    <w:rsid w:val="000D43AF"/>
    <w:rsid w:val="00133C5E"/>
    <w:rsid w:val="00144F67"/>
    <w:rsid w:val="00170ADB"/>
    <w:rsid w:val="00197035"/>
    <w:rsid w:val="001C2611"/>
    <w:rsid w:val="001D6CA6"/>
    <w:rsid w:val="001E21C1"/>
    <w:rsid w:val="001F32CD"/>
    <w:rsid w:val="00210406"/>
    <w:rsid w:val="00237438"/>
    <w:rsid w:val="00245983"/>
    <w:rsid w:val="00271B74"/>
    <w:rsid w:val="00281440"/>
    <w:rsid w:val="002822A5"/>
    <w:rsid w:val="002A1BA5"/>
    <w:rsid w:val="002B69C1"/>
    <w:rsid w:val="002F4CD3"/>
    <w:rsid w:val="00313776"/>
    <w:rsid w:val="00326D92"/>
    <w:rsid w:val="00337AED"/>
    <w:rsid w:val="00393F72"/>
    <w:rsid w:val="004233EC"/>
    <w:rsid w:val="0042765A"/>
    <w:rsid w:val="00441A62"/>
    <w:rsid w:val="00460F8A"/>
    <w:rsid w:val="004F2503"/>
    <w:rsid w:val="005226C3"/>
    <w:rsid w:val="005336A4"/>
    <w:rsid w:val="00550C04"/>
    <w:rsid w:val="00567709"/>
    <w:rsid w:val="005C485F"/>
    <w:rsid w:val="005F02D5"/>
    <w:rsid w:val="006105C2"/>
    <w:rsid w:val="0062060C"/>
    <w:rsid w:val="00665600"/>
    <w:rsid w:val="006A67B8"/>
    <w:rsid w:val="006A7EE4"/>
    <w:rsid w:val="006D161F"/>
    <w:rsid w:val="006E2CF7"/>
    <w:rsid w:val="006E2F0F"/>
    <w:rsid w:val="006F17C8"/>
    <w:rsid w:val="00716B9A"/>
    <w:rsid w:val="007246EE"/>
    <w:rsid w:val="00730830"/>
    <w:rsid w:val="007552FC"/>
    <w:rsid w:val="007564C8"/>
    <w:rsid w:val="007904F6"/>
    <w:rsid w:val="00812BDF"/>
    <w:rsid w:val="00843A7E"/>
    <w:rsid w:val="00877348"/>
    <w:rsid w:val="00893209"/>
    <w:rsid w:val="008A1CAB"/>
    <w:rsid w:val="008A2C0D"/>
    <w:rsid w:val="008C7F25"/>
    <w:rsid w:val="008E7BB6"/>
    <w:rsid w:val="009221D7"/>
    <w:rsid w:val="0093639E"/>
    <w:rsid w:val="009414F2"/>
    <w:rsid w:val="0095291C"/>
    <w:rsid w:val="00970BE8"/>
    <w:rsid w:val="00A0745E"/>
    <w:rsid w:val="00A33EA5"/>
    <w:rsid w:val="00A52D45"/>
    <w:rsid w:val="00AA78FC"/>
    <w:rsid w:val="00AB1A65"/>
    <w:rsid w:val="00AF1E23"/>
    <w:rsid w:val="00B0294D"/>
    <w:rsid w:val="00B069F6"/>
    <w:rsid w:val="00B3515E"/>
    <w:rsid w:val="00B513F6"/>
    <w:rsid w:val="00B57DBB"/>
    <w:rsid w:val="00B7431F"/>
    <w:rsid w:val="00B81ADB"/>
    <w:rsid w:val="00B92541"/>
    <w:rsid w:val="00BD6BD0"/>
    <w:rsid w:val="00BE743F"/>
    <w:rsid w:val="00BF4D04"/>
    <w:rsid w:val="00C2791C"/>
    <w:rsid w:val="00C45678"/>
    <w:rsid w:val="00C97CA5"/>
    <w:rsid w:val="00CD7553"/>
    <w:rsid w:val="00D14E7B"/>
    <w:rsid w:val="00D55322"/>
    <w:rsid w:val="00D60AF9"/>
    <w:rsid w:val="00D70226"/>
    <w:rsid w:val="00D756E5"/>
    <w:rsid w:val="00DB75CD"/>
    <w:rsid w:val="00DC7B4F"/>
    <w:rsid w:val="00DD06A9"/>
    <w:rsid w:val="00DE538F"/>
    <w:rsid w:val="00E05523"/>
    <w:rsid w:val="00E30A41"/>
    <w:rsid w:val="00E35821"/>
    <w:rsid w:val="00E579DC"/>
    <w:rsid w:val="00EE7A20"/>
    <w:rsid w:val="00F70212"/>
    <w:rsid w:val="00F711AA"/>
    <w:rsid w:val="00F845F7"/>
    <w:rsid w:val="00F87DDA"/>
    <w:rsid w:val="00F91E4D"/>
    <w:rsid w:val="00FA4B2B"/>
    <w:rsid w:val="00FA5D9B"/>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41FCCD"/>
  <w15:docId w15:val="{129424D9-2365-4826-8431-AF45F22DB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sz w:val="20"/>
      <w:szCs w:val="20"/>
    </w:rPr>
  </w:style>
  <w:style w:type="paragraph" w:styleId="Title">
    <w:name w:val="Title"/>
    <w:basedOn w:val="Normal"/>
    <w:uiPriority w:val="10"/>
    <w:qFormat/>
    <w:pPr>
      <w:ind w:right="2"/>
      <w:jc w:val="center"/>
    </w:pPr>
    <w:rPr>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Revision">
    <w:name w:val="Revision"/>
    <w:hidden/>
    <w:uiPriority w:val="99"/>
    <w:semiHidden/>
    <w:rsid w:val="004F2503"/>
    <w:pPr>
      <w:widowControl/>
      <w:autoSpaceDE/>
      <w:autoSpaceDN/>
    </w:pPr>
    <w:rPr>
      <w:rFonts w:ascii="Calibri" w:eastAsia="Calibri" w:hAnsi="Calibri" w:cs="Calibri"/>
    </w:rPr>
  </w:style>
  <w:style w:type="paragraph" w:styleId="NormalWeb">
    <w:name w:val="Normal (Web)"/>
    <w:basedOn w:val="Normal"/>
    <w:uiPriority w:val="99"/>
    <w:semiHidden/>
    <w:unhideWhenUsed/>
    <w:rsid w:val="00C45678"/>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95291C"/>
    <w:rPr>
      <w:sz w:val="16"/>
      <w:szCs w:val="16"/>
    </w:rPr>
  </w:style>
  <w:style w:type="paragraph" w:styleId="CommentText">
    <w:name w:val="annotation text"/>
    <w:basedOn w:val="Normal"/>
    <w:link w:val="CommentTextChar"/>
    <w:uiPriority w:val="99"/>
    <w:unhideWhenUsed/>
    <w:rsid w:val="0095291C"/>
    <w:rPr>
      <w:sz w:val="20"/>
      <w:szCs w:val="20"/>
    </w:rPr>
  </w:style>
  <w:style w:type="character" w:customStyle="1" w:styleId="CommentTextChar">
    <w:name w:val="Comment Text Char"/>
    <w:basedOn w:val="DefaultParagraphFont"/>
    <w:link w:val="CommentText"/>
    <w:uiPriority w:val="99"/>
    <w:rsid w:val="0095291C"/>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95291C"/>
    <w:rPr>
      <w:b/>
      <w:bCs/>
    </w:rPr>
  </w:style>
  <w:style w:type="character" w:customStyle="1" w:styleId="CommentSubjectChar">
    <w:name w:val="Comment Subject Char"/>
    <w:basedOn w:val="CommentTextChar"/>
    <w:link w:val="CommentSubject"/>
    <w:uiPriority w:val="99"/>
    <w:semiHidden/>
    <w:rsid w:val="0095291C"/>
    <w:rPr>
      <w:rFonts w:ascii="Calibri" w:eastAsia="Calibri" w:hAnsi="Calibri" w:cs="Calibri"/>
      <w:b/>
      <w:bCs/>
      <w:sz w:val="20"/>
      <w:szCs w:val="20"/>
    </w:rPr>
  </w:style>
  <w:style w:type="paragraph" w:styleId="Header">
    <w:name w:val="header"/>
    <w:basedOn w:val="Normal"/>
    <w:link w:val="HeaderChar"/>
    <w:uiPriority w:val="99"/>
    <w:unhideWhenUsed/>
    <w:rsid w:val="00F711AA"/>
    <w:pPr>
      <w:tabs>
        <w:tab w:val="center" w:pos="4320"/>
        <w:tab w:val="right" w:pos="8640"/>
      </w:tabs>
    </w:pPr>
  </w:style>
  <w:style w:type="character" w:customStyle="1" w:styleId="HeaderChar">
    <w:name w:val="Header Char"/>
    <w:basedOn w:val="DefaultParagraphFont"/>
    <w:link w:val="Header"/>
    <w:uiPriority w:val="99"/>
    <w:rsid w:val="00F711AA"/>
    <w:rPr>
      <w:rFonts w:ascii="Calibri" w:eastAsia="Calibri" w:hAnsi="Calibri" w:cs="Calibri"/>
    </w:rPr>
  </w:style>
  <w:style w:type="paragraph" w:styleId="Footer">
    <w:name w:val="footer"/>
    <w:basedOn w:val="Normal"/>
    <w:link w:val="FooterChar"/>
    <w:uiPriority w:val="99"/>
    <w:unhideWhenUsed/>
    <w:rsid w:val="00F711AA"/>
    <w:pPr>
      <w:tabs>
        <w:tab w:val="center" w:pos="4320"/>
        <w:tab w:val="right" w:pos="8640"/>
      </w:tabs>
    </w:pPr>
  </w:style>
  <w:style w:type="character" w:customStyle="1" w:styleId="FooterChar">
    <w:name w:val="Footer Char"/>
    <w:basedOn w:val="DefaultParagraphFont"/>
    <w:link w:val="Footer"/>
    <w:uiPriority w:val="99"/>
    <w:rsid w:val="00F711AA"/>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tect.checkpoint.com/v2/r03/___http://www.sedarplus.ca/___.YzFjOnRjajE6YzpvZmZpY2UzNjVfZW1haWxzX2F0dGFjaG1lbnQ6NGQyZWU4ZTMxOTYwOGFmZDYzZGU0NTA5MGM3OGYzOWY6NzpiYTgwOmU2MTFkMmFkMWFiM2Q0NmIyYjJjMzFiODNkYjk0YTU5YjcxYzJjZjZjN2ZlZGFmZmUxZTc3N2I0Y2QyMTRiMDE6cDpUOlQ" TargetMode="External"/><Relationship Id="rId3" Type="http://schemas.openxmlformats.org/officeDocument/2006/relationships/settings" Target="settings.xml"/><Relationship Id="rId7" Type="http://schemas.openxmlformats.org/officeDocument/2006/relationships/hyperlink" Target="mailto:chris@asepmedica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properties xmlns="http://www.imanage.com/work/xmlschema">
  <documentid>IMANAGE!34098565.1</documentid>
  <senderid>JODY.BELLY@GROUPETCJ.CA</senderid>
  <senderemail>JODY.BELLY@GROUPETCJ.CA</senderemail>
  <lastmodified>2026-10-08T05:30:00.0000000-04:00</lastmodified>
  <database>IMANAGE</database>
</properties>
</file>

<file path=customXml/itemProps1.xml><?xml version="1.0" encoding="utf-8"?>
<ds:datastoreItem xmlns:ds="http://schemas.openxmlformats.org/officeDocument/2006/customXml" ds:itemID="{33BD12E6-9A3F-49CE-8C07-420057CB4FF2}">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Pages>
  <Words>962</Words>
  <Characters>5717</Characters>
  <Application>Microsoft Office Word</Application>
  <DocSecurity>0</DocSecurity>
  <Lines>81</Lines>
  <Paragraphs>23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6656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Lauralia Jinerenco</dc:creator>
  <cp:lastModifiedBy>Chris Dallin</cp:lastModifiedBy>
  <cp:revision>10</cp:revision>
  <dcterms:created xsi:type="dcterms:W3CDTF">2026-10-07T17:53:00Z</dcterms:created>
  <dcterms:modified xsi:type="dcterms:W3CDTF">2026-10-09T00:23:00Z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2026-04-29T00:00:00Z</vt:filetime>
  </property>
  <property fmtid="{D5CDD505-2E9C-101B-9397-08002B2CF9AE}" pid="3" name="Creator">
    <vt:lpwstr>PDFium</vt:lpwstr>
  </property>
  <property fmtid="{D5CDD505-2E9C-101B-9397-08002B2CF9AE}" pid="4" name="JEWJCDocID">
    <vt:lpwstr>0804610e-7e8d-4cab-a921-38b9a31602ad</vt:lpwstr>
  </property>
  <property fmtid="{D5CDD505-2E9C-101B-9397-08002B2CF9AE}" pid="5" name="LastSaved">
    <vt:filetime>2026-04-29T00:00:00Z</vt:filetime>
  </property>
  <property fmtid="{D5CDD505-2E9C-101B-9397-08002B2CF9AE}" pid="6" name="Producer">
    <vt:lpwstr>PDFium</vt:lpwstr>
  </property>
</Properties>
</file>