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2782" w14:textId="512416F8" w:rsidR="00E7492A" w:rsidRPr="00CB702C" w:rsidRDefault="00CC7E26" w:rsidP="00CC7E26">
      <w:pPr>
        <w:pBdr>
          <w:top w:val="nil"/>
          <w:left w:val="nil"/>
          <w:bottom w:val="nil"/>
          <w:right w:val="nil"/>
          <w:between w:val="nil"/>
        </w:pBdr>
        <w:shd w:val="clear" w:color="auto" w:fill="FFFFFF"/>
        <w:spacing w:before="240" w:line="360" w:lineRule="auto"/>
        <w:jc w:val="center"/>
        <w:rPr>
          <w:b/>
          <w:sz w:val="28"/>
          <w:szCs w:val="28"/>
        </w:rPr>
      </w:pPr>
      <w:r w:rsidRPr="00CC7E26">
        <w:rPr>
          <w:b/>
          <w:sz w:val="28"/>
          <w:szCs w:val="28"/>
        </w:rPr>
        <w:t xml:space="preserve">Asep Inc. is Granted Patent Approval </w:t>
      </w:r>
      <w:r w:rsidR="00865E9F">
        <w:rPr>
          <w:b/>
          <w:sz w:val="28"/>
          <w:szCs w:val="28"/>
        </w:rPr>
        <w:br/>
      </w:r>
      <w:r w:rsidRPr="00CC7E26">
        <w:rPr>
          <w:b/>
          <w:sz w:val="28"/>
          <w:szCs w:val="28"/>
        </w:rPr>
        <w:t>for its Sepsis Diagnostic Technology in 13 European Countries and Australia</w:t>
      </w:r>
    </w:p>
    <w:p w14:paraId="232A0B35" w14:textId="6FDFF2BA" w:rsidR="00E45A85" w:rsidRDefault="00000000" w:rsidP="00E45A85">
      <w:pPr>
        <w:spacing w:before="240" w:line="360" w:lineRule="auto"/>
        <w:rPr>
          <w:bCs/>
          <w:sz w:val="20"/>
          <w:szCs w:val="20"/>
        </w:rPr>
      </w:pPr>
      <w:r>
        <w:rPr>
          <w:sz w:val="20"/>
          <w:szCs w:val="20"/>
        </w:rPr>
        <w:t xml:space="preserve">VANCOUVER, BC, </w:t>
      </w:r>
      <w:r w:rsidR="00865E9F">
        <w:rPr>
          <w:sz w:val="20"/>
          <w:szCs w:val="20"/>
        </w:rPr>
        <w:t>November 7</w:t>
      </w:r>
      <w:r>
        <w:rPr>
          <w:sz w:val="20"/>
          <w:szCs w:val="20"/>
        </w:rPr>
        <w:t xml:space="preserve">, 2022 (CNW) — </w:t>
      </w:r>
      <w:r>
        <w:rPr>
          <w:b/>
          <w:sz w:val="20"/>
          <w:szCs w:val="20"/>
        </w:rPr>
        <w:t xml:space="preserve">Asep Medical Holdings Inc. (“Asep Inc.” </w:t>
      </w:r>
      <w:r>
        <w:rPr>
          <w:sz w:val="20"/>
          <w:szCs w:val="20"/>
        </w:rPr>
        <w:t>or the </w:t>
      </w:r>
      <w:r>
        <w:rPr>
          <w:b/>
          <w:sz w:val="20"/>
          <w:szCs w:val="20"/>
        </w:rPr>
        <w:t xml:space="preserve">“Company”) (CSE: ASEP) (OTCQB: SEPSF) </w:t>
      </w:r>
      <w:r w:rsidR="00E45A85">
        <w:rPr>
          <w:bCs/>
          <w:sz w:val="20"/>
          <w:szCs w:val="20"/>
        </w:rPr>
        <w:t xml:space="preserve">is </w:t>
      </w:r>
      <w:r w:rsidR="00CE7B23">
        <w:rPr>
          <w:bCs/>
          <w:sz w:val="20"/>
          <w:szCs w:val="20"/>
        </w:rPr>
        <w:t xml:space="preserve">very </w:t>
      </w:r>
      <w:r w:rsidR="00E45A85">
        <w:rPr>
          <w:bCs/>
          <w:sz w:val="20"/>
          <w:szCs w:val="20"/>
        </w:rPr>
        <w:t xml:space="preserve">pleased to announce </w:t>
      </w:r>
      <w:r w:rsidR="00CE7B23">
        <w:rPr>
          <w:bCs/>
          <w:sz w:val="20"/>
          <w:szCs w:val="20"/>
        </w:rPr>
        <w:t>that the Company’s sepsis diagnostic technology</w:t>
      </w:r>
      <w:r w:rsidR="00073C45">
        <w:rPr>
          <w:bCs/>
          <w:sz w:val="20"/>
          <w:szCs w:val="20"/>
        </w:rPr>
        <w:t>, called Sepset</w:t>
      </w:r>
      <w:r w:rsidR="00073C45" w:rsidRPr="00073C45">
        <w:rPr>
          <w:bCs/>
          <w:sz w:val="20"/>
          <w:szCs w:val="20"/>
          <w:vertAlign w:val="superscript"/>
        </w:rPr>
        <w:t>ER</w:t>
      </w:r>
      <w:r w:rsidR="001B0A83">
        <w:rPr>
          <w:bCs/>
          <w:sz w:val="20"/>
          <w:szCs w:val="20"/>
          <w:vertAlign w:val="superscript"/>
        </w:rPr>
        <w:t xml:space="preserve"> TM</w:t>
      </w:r>
      <w:r w:rsidR="00073C45">
        <w:rPr>
          <w:bCs/>
          <w:sz w:val="20"/>
          <w:szCs w:val="20"/>
        </w:rPr>
        <w:t>, has received successful</w:t>
      </w:r>
      <w:r w:rsidR="00CE7B23">
        <w:rPr>
          <w:bCs/>
          <w:sz w:val="20"/>
          <w:szCs w:val="20"/>
        </w:rPr>
        <w:t xml:space="preserve"> patent </w:t>
      </w:r>
      <w:r w:rsidR="00074051">
        <w:rPr>
          <w:bCs/>
          <w:sz w:val="20"/>
          <w:szCs w:val="20"/>
        </w:rPr>
        <w:t xml:space="preserve">approval </w:t>
      </w:r>
      <w:r w:rsidR="001F742F">
        <w:rPr>
          <w:bCs/>
          <w:sz w:val="20"/>
          <w:szCs w:val="20"/>
        </w:rPr>
        <w:t xml:space="preserve">in </w:t>
      </w:r>
      <w:r w:rsidR="00CE7B23">
        <w:rPr>
          <w:bCs/>
          <w:sz w:val="20"/>
          <w:szCs w:val="20"/>
        </w:rPr>
        <w:t xml:space="preserve">13 European countries as well as in Australia. </w:t>
      </w:r>
      <w:r w:rsidR="00073C45">
        <w:rPr>
          <w:bCs/>
          <w:sz w:val="20"/>
          <w:szCs w:val="20"/>
        </w:rPr>
        <w:t>The Company received confirmation</w:t>
      </w:r>
      <w:r w:rsidR="001F742F">
        <w:rPr>
          <w:bCs/>
          <w:sz w:val="20"/>
          <w:szCs w:val="20"/>
        </w:rPr>
        <w:t xml:space="preserve"> of its European Patent (EP) 3117030</w:t>
      </w:r>
      <w:r w:rsidR="00073C45">
        <w:rPr>
          <w:bCs/>
          <w:sz w:val="20"/>
          <w:szCs w:val="20"/>
        </w:rPr>
        <w:t xml:space="preserve"> from its patent lawyers on August 29, 2022</w:t>
      </w:r>
      <w:r w:rsidR="001F742F">
        <w:rPr>
          <w:bCs/>
          <w:sz w:val="20"/>
          <w:szCs w:val="20"/>
        </w:rPr>
        <w:t xml:space="preserve">, and </w:t>
      </w:r>
      <w:r w:rsidR="00635D2F">
        <w:rPr>
          <w:bCs/>
          <w:sz w:val="20"/>
          <w:szCs w:val="20"/>
        </w:rPr>
        <w:t>this</w:t>
      </w:r>
      <w:r w:rsidR="00074051">
        <w:rPr>
          <w:bCs/>
          <w:sz w:val="20"/>
          <w:szCs w:val="20"/>
        </w:rPr>
        <w:t xml:space="preserve"> </w:t>
      </w:r>
      <w:r w:rsidR="00635D2F">
        <w:rPr>
          <w:bCs/>
          <w:sz w:val="20"/>
          <w:szCs w:val="20"/>
        </w:rPr>
        <w:t xml:space="preserve">patent </w:t>
      </w:r>
      <w:r w:rsidR="00074051">
        <w:rPr>
          <w:bCs/>
          <w:sz w:val="20"/>
          <w:szCs w:val="20"/>
        </w:rPr>
        <w:t xml:space="preserve">was </w:t>
      </w:r>
      <w:r w:rsidR="00635D2F">
        <w:rPr>
          <w:bCs/>
          <w:sz w:val="20"/>
          <w:szCs w:val="20"/>
        </w:rPr>
        <w:t xml:space="preserve">subsequently </w:t>
      </w:r>
      <w:r w:rsidR="00074051">
        <w:rPr>
          <w:bCs/>
          <w:sz w:val="20"/>
          <w:szCs w:val="20"/>
        </w:rPr>
        <w:t>validated in</w:t>
      </w:r>
      <w:r w:rsidR="001F742F">
        <w:rPr>
          <w:bCs/>
          <w:sz w:val="20"/>
          <w:szCs w:val="20"/>
        </w:rPr>
        <w:t xml:space="preserve"> Belgium, Denmark, Finland, France, Germany, Ireland, Italy, Netherlands, Norway, Spain, Sweden, Switzerland and the UK</w:t>
      </w:r>
      <w:r w:rsidR="007A63B7">
        <w:rPr>
          <w:bCs/>
          <w:sz w:val="20"/>
          <w:szCs w:val="20"/>
        </w:rPr>
        <w:t>, representing 400 million people</w:t>
      </w:r>
      <w:r w:rsidR="001F742F">
        <w:rPr>
          <w:bCs/>
          <w:sz w:val="20"/>
          <w:szCs w:val="20"/>
        </w:rPr>
        <w:t xml:space="preserve">. The Company also </w:t>
      </w:r>
      <w:r w:rsidR="007A63B7">
        <w:rPr>
          <w:bCs/>
          <w:sz w:val="20"/>
          <w:szCs w:val="20"/>
        </w:rPr>
        <w:t>was awarded a</w:t>
      </w:r>
      <w:r w:rsidR="001F742F">
        <w:rPr>
          <w:bCs/>
          <w:sz w:val="20"/>
          <w:szCs w:val="20"/>
        </w:rPr>
        <w:t xml:space="preserve"> patent </w:t>
      </w:r>
      <w:r w:rsidR="007A63B7">
        <w:rPr>
          <w:bCs/>
          <w:sz w:val="20"/>
          <w:szCs w:val="20"/>
        </w:rPr>
        <w:t>in</w:t>
      </w:r>
      <w:r w:rsidR="001F742F">
        <w:rPr>
          <w:bCs/>
          <w:sz w:val="20"/>
          <w:szCs w:val="20"/>
        </w:rPr>
        <w:t xml:space="preserve"> Australia</w:t>
      </w:r>
      <w:r w:rsidR="00637C2F">
        <w:rPr>
          <w:bCs/>
          <w:sz w:val="20"/>
          <w:szCs w:val="20"/>
        </w:rPr>
        <w:t xml:space="preserve"> (</w:t>
      </w:r>
      <w:r w:rsidR="00C940D3">
        <w:rPr>
          <w:bCs/>
          <w:sz w:val="20"/>
          <w:szCs w:val="20"/>
        </w:rPr>
        <w:t xml:space="preserve">Australian </w:t>
      </w:r>
      <w:r w:rsidR="00637C2F" w:rsidRPr="00637C2F">
        <w:rPr>
          <w:bCs/>
          <w:sz w:val="20"/>
          <w:szCs w:val="20"/>
        </w:rPr>
        <w:t>Patent No. AU2020201564B2</w:t>
      </w:r>
      <w:r w:rsidR="00C940D3">
        <w:rPr>
          <w:bCs/>
          <w:sz w:val="20"/>
          <w:szCs w:val="20"/>
        </w:rPr>
        <w:t>),</w:t>
      </w:r>
      <w:r w:rsidR="00637C2F" w:rsidRPr="00637C2F">
        <w:rPr>
          <w:bCs/>
          <w:sz w:val="20"/>
          <w:szCs w:val="20"/>
        </w:rPr>
        <w:t xml:space="preserve"> issued </w:t>
      </w:r>
      <w:r w:rsidR="00C940D3">
        <w:rPr>
          <w:bCs/>
          <w:sz w:val="20"/>
          <w:szCs w:val="20"/>
        </w:rPr>
        <w:t xml:space="preserve">on </w:t>
      </w:r>
      <w:r w:rsidR="00637C2F" w:rsidRPr="00637C2F">
        <w:rPr>
          <w:bCs/>
          <w:sz w:val="20"/>
          <w:szCs w:val="20"/>
        </w:rPr>
        <w:t>July 16, 2022</w:t>
      </w:r>
      <w:r w:rsidR="00C940D3">
        <w:rPr>
          <w:bCs/>
          <w:sz w:val="20"/>
          <w:szCs w:val="20"/>
        </w:rPr>
        <w:t>.</w:t>
      </w:r>
    </w:p>
    <w:p w14:paraId="04687246" w14:textId="3C9BA117" w:rsidR="00405039" w:rsidRDefault="00DD6A10" w:rsidP="00E45A85">
      <w:pPr>
        <w:spacing w:before="240" w:line="360" w:lineRule="auto"/>
        <w:rPr>
          <w:bCs/>
          <w:sz w:val="20"/>
          <w:szCs w:val="20"/>
        </w:rPr>
      </w:pPr>
      <w:r w:rsidRPr="00DD6A10">
        <w:rPr>
          <w:bCs/>
          <w:sz w:val="20"/>
          <w:szCs w:val="20"/>
        </w:rPr>
        <w:t xml:space="preserve">The patents, exclusively licensed to </w:t>
      </w:r>
      <w:r>
        <w:rPr>
          <w:bCs/>
          <w:sz w:val="20"/>
          <w:szCs w:val="20"/>
        </w:rPr>
        <w:t xml:space="preserve">Asep Inc.’s </w:t>
      </w:r>
      <w:r w:rsidRPr="00DD6A10">
        <w:rPr>
          <w:bCs/>
          <w:sz w:val="20"/>
          <w:szCs w:val="20"/>
        </w:rPr>
        <w:t>subsidiary Sepset</w:t>
      </w:r>
      <w:r>
        <w:rPr>
          <w:bCs/>
          <w:sz w:val="20"/>
          <w:szCs w:val="20"/>
        </w:rPr>
        <w:t xml:space="preserve"> Biosciences Inc.</w:t>
      </w:r>
      <w:r w:rsidRPr="00DD6A10">
        <w:rPr>
          <w:bCs/>
          <w:sz w:val="20"/>
          <w:szCs w:val="20"/>
        </w:rPr>
        <w:t xml:space="preserve">, </w:t>
      </w:r>
      <w:r w:rsidR="00BE50F2">
        <w:rPr>
          <w:bCs/>
          <w:sz w:val="20"/>
          <w:szCs w:val="20"/>
        </w:rPr>
        <w:t>validate</w:t>
      </w:r>
      <w:r w:rsidR="001F742F">
        <w:rPr>
          <w:bCs/>
          <w:sz w:val="20"/>
          <w:szCs w:val="20"/>
        </w:rPr>
        <w:t xml:space="preserve"> the Company’s </w:t>
      </w:r>
      <w:r w:rsidR="00BE50F2">
        <w:rPr>
          <w:bCs/>
          <w:sz w:val="20"/>
          <w:szCs w:val="20"/>
        </w:rPr>
        <w:t xml:space="preserve">unique and </w:t>
      </w:r>
      <w:r w:rsidR="007A63B7">
        <w:rPr>
          <w:bCs/>
          <w:sz w:val="20"/>
          <w:szCs w:val="20"/>
        </w:rPr>
        <w:t>clinically feasible</w:t>
      </w:r>
      <w:r w:rsidR="00BE50F2">
        <w:rPr>
          <w:bCs/>
          <w:sz w:val="20"/>
          <w:szCs w:val="20"/>
        </w:rPr>
        <w:t xml:space="preserve"> AI-based approach to sepsis diagnosis, a disease that </w:t>
      </w:r>
      <w:r w:rsidR="002035A2">
        <w:rPr>
          <w:bCs/>
          <w:sz w:val="20"/>
          <w:szCs w:val="20"/>
        </w:rPr>
        <w:t xml:space="preserve">globally causes </w:t>
      </w:r>
      <w:r w:rsidR="007A63B7">
        <w:rPr>
          <w:bCs/>
          <w:sz w:val="20"/>
          <w:szCs w:val="20"/>
        </w:rPr>
        <w:t xml:space="preserve">more than </w:t>
      </w:r>
      <w:r w:rsidR="002035A2">
        <w:rPr>
          <w:bCs/>
          <w:sz w:val="20"/>
          <w:szCs w:val="20"/>
        </w:rPr>
        <w:t xml:space="preserve">11 million deaths </w:t>
      </w:r>
      <w:r w:rsidR="007A63B7">
        <w:rPr>
          <w:bCs/>
          <w:sz w:val="20"/>
          <w:szCs w:val="20"/>
        </w:rPr>
        <w:t>annually</w:t>
      </w:r>
      <w:r w:rsidR="002035A2">
        <w:rPr>
          <w:bCs/>
          <w:sz w:val="20"/>
          <w:szCs w:val="20"/>
        </w:rPr>
        <w:t xml:space="preserve">. </w:t>
      </w:r>
      <w:r w:rsidR="002035A2" w:rsidRPr="002035A2">
        <w:rPr>
          <w:bCs/>
          <w:sz w:val="20"/>
          <w:szCs w:val="20"/>
        </w:rPr>
        <w:t xml:space="preserve">The technology, </w:t>
      </w:r>
      <w:r w:rsidR="000466BB">
        <w:rPr>
          <w:bCs/>
          <w:sz w:val="20"/>
          <w:szCs w:val="20"/>
        </w:rPr>
        <w:t>named</w:t>
      </w:r>
      <w:r w:rsidR="002035A2" w:rsidRPr="002035A2">
        <w:rPr>
          <w:bCs/>
          <w:sz w:val="20"/>
          <w:szCs w:val="20"/>
        </w:rPr>
        <w:t xml:space="preserve"> Sepset</w:t>
      </w:r>
      <w:r w:rsidR="002035A2" w:rsidRPr="00634671">
        <w:rPr>
          <w:bCs/>
          <w:sz w:val="20"/>
          <w:szCs w:val="20"/>
          <w:vertAlign w:val="superscript"/>
        </w:rPr>
        <w:t>ER</w:t>
      </w:r>
      <w:r w:rsidR="002035A2" w:rsidRPr="002035A2">
        <w:rPr>
          <w:bCs/>
          <w:sz w:val="20"/>
          <w:szCs w:val="20"/>
        </w:rPr>
        <w:t xml:space="preserve">, is a blood-based gene expression assay developed under the direction of leading UBC microbiologist and Asep Inc.’s Founding Director and </w:t>
      </w:r>
      <w:r w:rsidR="007A63B7">
        <w:rPr>
          <w:bCs/>
          <w:sz w:val="20"/>
          <w:szCs w:val="20"/>
        </w:rPr>
        <w:t xml:space="preserve">current </w:t>
      </w:r>
      <w:r w:rsidR="002035A2" w:rsidRPr="002035A2">
        <w:rPr>
          <w:bCs/>
          <w:sz w:val="20"/>
          <w:szCs w:val="20"/>
        </w:rPr>
        <w:t>C</w:t>
      </w:r>
      <w:r w:rsidR="002035A2">
        <w:rPr>
          <w:bCs/>
          <w:sz w:val="20"/>
          <w:szCs w:val="20"/>
        </w:rPr>
        <w:t>E</w:t>
      </w:r>
      <w:r w:rsidR="002035A2" w:rsidRPr="002035A2">
        <w:rPr>
          <w:bCs/>
          <w:sz w:val="20"/>
          <w:szCs w:val="20"/>
        </w:rPr>
        <w:t xml:space="preserve">O, Dr. Robert E. W. Hancock. The test enables early and accurate diagnosis of </w:t>
      </w:r>
      <w:r w:rsidR="007A63B7">
        <w:rPr>
          <w:bCs/>
          <w:sz w:val="20"/>
          <w:szCs w:val="20"/>
        </w:rPr>
        <w:t xml:space="preserve">severe incidences of </w:t>
      </w:r>
      <w:r w:rsidR="002035A2" w:rsidRPr="002035A2">
        <w:rPr>
          <w:bCs/>
          <w:sz w:val="20"/>
          <w:szCs w:val="20"/>
        </w:rPr>
        <w:t xml:space="preserve">the deadly disease sepsis, </w:t>
      </w:r>
      <w:r w:rsidR="002035A2">
        <w:rPr>
          <w:bCs/>
          <w:sz w:val="20"/>
          <w:szCs w:val="20"/>
        </w:rPr>
        <w:t>which</w:t>
      </w:r>
      <w:r w:rsidR="002035A2" w:rsidRPr="002035A2">
        <w:rPr>
          <w:bCs/>
          <w:sz w:val="20"/>
          <w:szCs w:val="20"/>
        </w:rPr>
        <w:t xml:space="preserve"> is also </w:t>
      </w:r>
      <w:r w:rsidR="007A63B7">
        <w:rPr>
          <w:bCs/>
          <w:sz w:val="20"/>
          <w:szCs w:val="20"/>
        </w:rPr>
        <w:t>the cause of death in most patients with severe</w:t>
      </w:r>
      <w:r w:rsidR="002035A2" w:rsidRPr="002035A2">
        <w:rPr>
          <w:bCs/>
          <w:sz w:val="20"/>
          <w:szCs w:val="20"/>
        </w:rPr>
        <w:t xml:space="preserve"> COVID-19.</w:t>
      </w:r>
      <w:r w:rsidR="002035A2">
        <w:rPr>
          <w:bCs/>
          <w:sz w:val="20"/>
          <w:szCs w:val="20"/>
        </w:rPr>
        <w:t xml:space="preserve"> </w:t>
      </w:r>
    </w:p>
    <w:p w14:paraId="3A9BF929" w14:textId="14D51724" w:rsidR="001F742F" w:rsidRDefault="002035A2" w:rsidP="00E45A85">
      <w:pPr>
        <w:spacing w:before="240" w:line="360" w:lineRule="auto"/>
        <w:rPr>
          <w:bCs/>
          <w:sz w:val="20"/>
          <w:szCs w:val="20"/>
        </w:rPr>
      </w:pPr>
      <w:r>
        <w:rPr>
          <w:bCs/>
          <w:sz w:val="20"/>
          <w:szCs w:val="20"/>
        </w:rPr>
        <w:t xml:space="preserve">The patents also provide </w:t>
      </w:r>
      <w:r w:rsidR="001C391F">
        <w:rPr>
          <w:bCs/>
          <w:sz w:val="20"/>
          <w:szCs w:val="20"/>
        </w:rPr>
        <w:t>a solid</w:t>
      </w:r>
      <w:r>
        <w:rPr>
          <w:bCs/>
          <w:sz w:val="20"/>
          <w:szCs w:val="20"/>
        </w:rPr>
        <w:t xml:space="preserve"> foundation for the Company’s business </w:t>
      </w:r>
      <w:r w:rsidR="00F563CB">
        <w:rPr>
          <w:bCs/>
          <w:sz w:val="20"/>
          <w:szCs w:val="20"/>
        </w:rPr>
        <w:t>since</w:t>
      </w:r>
      <w:r w:rsidR="000466BB">
        <w:rPr>
          <w:bCs/>
          <w:sz w:val="20"/>
          <w:szCs w:val="20"/>
        </w:rPr>
        <w:t xml:space="preserve"> t</w:t>
      </w:r>
      <w:r>
        <w:rPr>
          <w:bCs/>
          <w:sz w:val="20"/>
          <w:szCs w:val="20"/>
        </w:rPr>
        <w:t>he test is in advanced development</w:t>
      </w:r>
      <w:r w:rsidR="00C7275C">
        <w:rPr>
          <w:bCs/>
          <w:sz w:val="20"/>
          <w:szCs w:val="20"/>
        </w:rPr>
        <w:t xml:space="preserve"> and</w:t>
      </w:r>
      <w:r>
        <w:rPr>
          <w:bCs/>
          <w:sz w:val="20"/>
          <w:szCs w:val="20"/>
        </w:rPr>
        <w:t xml:space="preserve"> </w:t>
      </w:r>
      <w:r w:rsidR="000466BB">
        <w:rPr>
          <w:bCs/>
          <w:sz w:val="20"/>
          <w:szCs w:val="20"/>
        </w:rPr>
        <w:t xml:space="preserve">in preparation for </w:t>
      </w:r>
      <w:r w:rsidR="00634671">
        <w:rPr>
          <w:bCs/>
          <w:sz w:val="20"/>
          <w:szCs w:val="20"/>
        </w:rPr>
        <w:t xml:space="preserve">formal clinical </w:t>
      </w:r>
      <w:r w:rsidR="00F563CB">
        <w:rPr>
          <w:bCs/>
          <w:sz w:val="20"/>
          <w:szCs w:val="20"/>
        </w:rPr>
        <w:t>510(k) studies. Since the Sepset</w:t>
      </w:r>
      <w:r w:rsidR="00F563CB">
        <w:rPr>
          <w:bCs/>
          <w:sz w:val="20"/>
          <w:szCs w:val="20"/>
          <w:vertAlign w:val="superscript"/>
        </w:rPr>
        <w:t>ER</w:t>
      </w:r>
      <w:r w:rsidR="00F563CB">
        <w:rPr>
          <w:bCs/>
          <w:sz w:val="20"/>
          <w:szCs w:val="20"/>
        </w:rPr>
        <w:t xml:space="preserve"> signature has already been validated</w:t>
      </w:r>
      <w:r w:rsidR="00917686">
        <w:rPr>
          <w:bCs/>
          <w:sz w:val="20"/>
          <w:szCs w:val="20"/>
        </w:rPr>
        <w:t xml:space="preserve"> and refined</w:t>
      </w:r>
      <w:r w:rsidR="00F563CB">
        <w:rPr>
          <w:bCs/>
          <w:sz w:val="20"/>
          <w:szCs w:val="20"/>
        </w:rPr>
        <w:t xml:space="preserve"> in more than 700 sepsis and severe </w:t>
      </w:r>
      <w:r w:rsidR="00C7275C">
        <w:rPr>
          <w:bCs/>
          <w:sz w:val="20"/>
          <w:szCs w:val="20"/>
        </w:rPr>
        <w:t xml:space="preserve">COVID-19 </w:t>
      </w:r>
      <w:r w:rsidR="00F563CB">
        <w:rPr>
          <w:bCs/>
          <w:sz w:val="20"/>
          <w:szCs w:val="20"/>
        </w:rPr>
        <w:t>patients to date</w:t>
      </w:r>
      <w:r w:rsidR="00917686">
        <w:rPr>
          <w:bCs/>
          <w:sz w:val="20"/>
          <w:szCs w:val="20"/>
        </w:rPr>
        <w:t>,</w:t>
      </w:r>
      <w:r w:rsidR="00F563CB">
        <w:rPr>
          <w:bCs/>
          <w:sz w:val="20"/>
          <w:szCs w:val="20"/>
        </w:rPr>
        <w:t xml:space="preserve"> the company is looking to duplicate this in a formal trial. In the diagnostics area</w:t>
      </w:r>
      <w:r w:rsidR="00C940D3">
        <w:rPr>
          <w:bCs/>
          <w:sz w:val="20"/>
          <w:szCs w:val="20"/>
        </w:rPr>
        <w:t>,</w:t>
      </w:r>
      <w:r w:rsidR="00F563CB">
        <w:rPr>
          <w:bCs/>
          <w:sz w:val="20"/>
          <w:szCs w:val="20"/>
        </w:rPr>
        <w:t xml:space="preserve"> the 510(k) route involves a single clinical study that</w:t>
      </w:r>
      <w:r w:rsidR="00C940D3">
        <w:rPr>
          <w:bCs/>
          <w:sz w:val="20"/>
          <w:szCs w:val="20"/>
        </w:rPr>
        <w:t>,</w:t>
      </w:r>
      <w:r w:rsidR="00F563CB">
        <w:rPr>
          <w:bCs/>
          <w:sz w:val="20"/>
          <w:szCs w:val="20"/>
        </w:rPr>
        <w:t xml:space="preserve"> if </w:t>
      </w:r>
      <w:r w:rsidR="00C940D3">
        <w:rPr>
          <w:bCs/>
          <w:sz w:val="20"/>
          <w:szCs w:val="20"/>
        </w:rPr>
        <w:t xml:space="preserve">successful, </w:t>
      </w:r>
      <w:r w:rsidR="00F563CB">
        <w:rPr>
          <w:bCs/>
          <w:sz w:val="20"/>
          <w:szCs w:val="20"/>
        </w:rPr>
        <w:t>will lead to</w:t>
      </w:r>
      <w:r w:rsidR="001C391F">
        <w:rPr>
          <w:bCs/>
          <w:sz w:val="20"/>
          <w:szCs w:val="20"/>
        </w:rPr>
        <w:t xml:space="preserve"> </w:t>
      </w:r>
      <w:r w:rsidR="00634671">
        <w:rPr>
          <w:bCs/>
          <w:sz w:val="20"/>
          <w:szCs w:val="20"/>
        </w:rPr>
        <w:t>approval by the US Food &amp; Drug Administration (FDA)</w:t>
      </w:r>
      <w:r w:rsidR="000466BB">
        <w:rPr>
          <w:bCs/>
          <w:sz w:val="20"/>
          <w:szCs w:val="20"/>
        </w:rPr>
        <w:t xml:space="preserve">. Once approved, the test will be marketed </w:t>
      </w:r>
      <w:r w:rsidR="00583689">
        <w:rPr>
          <w:bCs/>
          <w:sz w:val="20"/>
          <w:szCs w:val="20"/>
        </w:rPr>
        <w:t xml:space="preserve">for use in </w:t>
      </w:r>
      <w:r w:rsidR="000466BB">
        <w:rPr>
          <w:bCs/>
          <w:sz w:val="20"/>
          <w:szCs w:val="20"/>
        </w:rPr>
        <w:t>emergency rooms</w:t>
      </w:r>
      <w:r w:rsidR="00583689">
        <w:rPr>
          <w:bCs/>
          <w:sz w:val="20"/>
          <w:szCs w:val="20"/>
        </w:rPr>
        <w:t xml:space="preserve"> and intensive care units</w:t>
      </w:r>
      <w:r w:rsidR="000466BB">
        <w:rPr>
          <w:bCs/>
          <w:sz w:val="20"/>
          <w:szCs w:val="20"/>
        </w:rPr>
        <w:t xml:space="preserve"> </w:t>
      </w:r>
      <w:r w:rsidR="00A71557">
        <w:rPr>
          <w:bCs/>
          <w:sz w:val="20"/>
          <w:szCs w:val="20"/>
        </w:rPr>
        <w:t>worldwide</w:t>
      </w:r>
      <w:r w:rsidR="000466BB">
        <w:rPr>
          <w:bCs/>
          <w:sz w:val="20"/>
          <w:szCs w:val="20"/>
        </w:rPr>
        <w:t xml:space="preserve">, </w:t>
      </w:r>
      <w:r w:rsidR="00583689">
        <w:rPr>
          <w:bCs/>
          <w:sz w:val="20"/>
          <w:szCs w:val="20"/>
        </w:rPr>
        <w:t>enabling physicians to make early informed decisions about patient care that will improve prognosis and survival.</w:t>
      </w:r>
    </w:p>
    <w:p w14:paraId="2F9CE5F1" w14:textId="39FB9265" w:rsidR="00CE7B23" w:rsidRDefault="00A71557" w:rsidP="00E45A85">
      <w:pPr>
        <w:spacing w:before="240" w:line="360" w:lineRule="auto"/>
        <w:rPr>
          <w:bCs/>
          <w:sz w:val="20"/>
          <w:szCs w:val="20"/>
        </w:rPr>
      </w:pPr>
      <w:r>
        <w:rPr>
          <w:bCs/>
          <w:sz w:val="20"/>
          <w:szCs w:val="20"/>
        </w:rPr>
        <w:t>The Sepset</w:t>
      </w:r>
      <w:r w:rsidRPr="00A71557">
        <w:rPr>
          <w:bCs/>
          <w:sz w:val="20"/>
          <w:szCs w:val="20"/>
          <w:vertAlign w:val="superscript"/>
        </w:rPr>
        <w:t>ER</w:t>
      </w:r>
      <w:r w:rsidR="001B0A83" w:rsidRPr="001B0A83">
        <w:rPr>
          <w:bCs/>
          <w:sz w:val="20"/>
          <w:szCs w:val="20"/>
        </w:rPr>
        <w:t xml:space="preserve"> </w:t>
      </w:r>
      <w:r>
        <w:rPr>
          <w:bCs/>
          <w:sz w:val="20"/>
          <w:szCs w:val="20"/>
        </w:rPr>
        <w:t xml:space="preserve">test </w:t>
      </w:r>
      <w:r w:rsidR="001B0A83" w:rsidRPr="001B0A83">
        <w:rPr>
          <w:bCs/>
          <w:sz w:val="20"/>
          <w:szCs w:val="20"/>
        </w:rPr>
        <w:t xml:space="preserve">senses the dysfunctional immune response underlying sepsis </w:t>
      </w:r>
      <w:r>
        <w:rPr>
          <w:bCs/>
          <w:sz w:val="20"/>
          <w:szCs w:val="20"/>
        </w:rPr>
        <w:t>when</w:t>
      </w:r>
      <w:r w:rsidR="001B0A83" w:rsidRPr="001B0A83">
        <w:rPr>
          <w:bCs/>
          <w:sz w:val="20"/>
          <w:szCs w:val="20"/>
        </w:rPr>
        <w:t xml:space="preserve"> patients first enter the emergency room. The test is a blood-based gene expression assay that is straightforward to implement</w:t>
      </w:r>
      <w:r w:rsidR="00583689">
        <w:rPr>
          <w:bCs/>
          <w:sz w:val="20"/>
          <w:szCs w:val="20"/>
        </w:rPr>
        <w:t xml:space="preserve"> using equipment available in most hospital labs</w:t>
      </w:r>
      <w:r w:rsidR="001B0A83" w:rsidRPr="001B0A83">
        <w:rPr>
          <w:bCs/>
          <w:sz w:val="20"/>
          <w:szCs w:val="20"/>
        </w:rPr>
        <w:t xml:space="preserve">, and results are obtained in about </w:t>
      </w:r>
      <w:r w:rsidR="00583689">
        <w:rPr>
          <w:bCs/>
          <w:sz w:val="20"/>
          <w:szCs w:val="20"/>
        </w:rPr>
        <w:t>60-90 minutes</w:t>
      </w:r>
      <w:r w:rsidR="001B0A83" w:rsidRPr="001B0A83">
        <w:rPr>
          <w:bCs/>
          <w:sz w:val="20"/>
          <w:szCs w:val="20"/>
        </w:rPr>
        <w:t xml:space="preserve">. Current diagnostic tools deliver results after approximately </w:t>
      </w:r>
      <w:r w:rsidR="00583689">
        <w:rPr>
          <w:bCs/>
          <w:sz w:val="20"/>
          <w:szCs w:val="20"/>
        </w:rPr>
        <w:t>8</w:t>
      </w:r>
      <w:r w:rsidR="001B0A83" w:rsidRPr="001B0A83">
        <w:rPr>
          <w:bCs/>
          <w:sz w:val="20"/>
          <w:szCs w:val="20"/>
        </w:rPr>
        <w:t>-36 hours</w:t>
      </w:r>
      <w:r>
        <w:rPr>
          <w:bCs/>
          <w:sz w:val="20"/>
          <w:szCs w:val="20"/>
        </w:rPr>
        <w:t>,</w:t>
      </w:r>
      <w:r w:rsidR="001B0A83" w:rsidRPr="001B0A83">
        <w:rPr>
          <w:bCs/>
          <w:sz w:val="20"/>
          <w:szCs w:val="20"/>
        </w:rPr>
        <w:t xml:space="preserve"> often delaying the initiation of treatment. Sepset</w:t>
      </w:r>
      <w:r w:rsidR="001B0A83" w:rsidRPr="00A71557">
        <w:rPr>
          <w:bCs/>
          <w:sz w:val="20"/>
          <w:szCs w:val="20"/>
          <w:vertAlign w:val="superscript"/>
        </w:rPr>
        <w:t>ER</w:t>
      </w:r>
      <w:r w:rsidR="001B0A83" w:rsidRPr="001B0A83">
        <w:rPr>
          <w:bCs/>
          <w:sz w:val="20"/>
          <w:szCs w:val="20"/>
        </w:rPr>
        <w:t xml:space="preserve"> is designed </w:t>
      </w:r>
      <w:r w:rsidR="001B0A83" w:rsidRPr="001B0A83">
        <w:rPr>
          <w:bCs/>
          <w:sz w:val="20"/>
          <w:szCs w:val="20"/>
        </w:rPr>
        <w:lastRenderedPageBreak/>
        <w:t xml:space="preserve">to enable physicians </w:t>
      </w:r>
      <w:r>
        <w:rPr>
          <w:bCs/>
          <w:sz w:val="20"/>
          <w:szCs w:val="20"/>
        </w:rPr>
        <w:t xml:space="preserve">to quickly predict </w:t>
      </w:r>
      <w:r w:rsidR="00583689">
        <w:rPr>
          <w:bCs/>
          <w:sz w:val="20"/>
          <w:szCs w:val="20"/>
        </w:rPr>
        <w:t>how severe the disease will become</w:t>
      </w:r>
      <w:r w:rsidR="001B0A83" w:rsidRPr="001B0A83">
        <w:rPr>
          <w:bCs/>
          <w:sz w:val="20"/>
          <w:szCs w:val="20"/>
        </w:rPr>
        <w:t xml:space="preserve"> and thus </w:t>
      </w:r>
      <w:r w:rsidR="00583689">
        <w:rPr>
          <w:bCs/>
          <w:sz w:val="20"/>
          <w:szCs w:val="20"/>
        </w:rPr>
        <w:t>trigger</w:t>
      </w:r>
      <w:r w:rsidR="00583689" w:rsidRPr="001B0A83">
        <w:rPr>
          <w:bCs/>
          <w:sz w:val="20"/>
          <w:szCs w:val="20"/>
        </w:rPr>
        <w:t xml:space="preserve"> </w:t>
      </w:r>
      <w:r w:rsidR="00917686">
        <w:rPr>
          <w:bCs/>
          <w:sz w:val="20"/>
          <w:szCs w:val="20"/>
        </w:rPr>
        <w:t>urgent</w:t>
      </w:r>
      <w:r w:rsidR="001B0A83" w:rsidRPr="001B0A83">
        <w:rPr>
          <w:bCs/>
          <w:sz w:val="20"/>
          <w:szCs w:val="20"/>
        </w:rPr>
        <w:t xml:space="preserve"> </w:t>
      </w:r>
      <w:r w:rsidR="00C940D3">
        <w:rPr>
          <w:bCs/>
          <w:sz w:val="20"/>
          <w:szCs w:val="20"/>
        </w:rPr>
        <w:t>patient treatment</w:t>
      </w:r>
      <w:r w:rsidR="001B0A83" w:rsidRPr="001B0A83">
        <w:rPr>
          <w:bCs/>
          <w:sz w:val="20"/>
          <w:szCs w:val="20"/>
        </w:rPr>
        <w:t xml:space="preserve">. The patent licensing arrangement gives Asep Inc.’s subsidiary, Sepset Biosciences Inc., exclusive </w:t>
      </w:r>
      <w:r w:rsidR="00917686">
        <w:rPr>
          <w:bCs/>
          <w:sz w:val="20"/>
          <w:szCs w:val="20"/>
        </w:rPr>
        <w:t xml:space="preserve">worldwide </w:t>
      </w:r>
      <w:r w:rsidR="001B0A83" w:rsidRPr="001B0A83">
        <w:rPr>
          <w:bCs/>
          <w:sz w:val="20"/>
          <w:szCs w:val="20"/>
        </w:rPr>
        <w:t xml:space="preserve">rights to develop the sepsis severity </w:t>
      </w:r>
      <w:r w:rsidR="00917686">
        <w:rPr>
          <w:bCs/>
          <w:sz w:val="20"/>
          <w:szCs w:val="20"/>
        </w:rPr>
        <w:t>signature</w:t>
      </w:r>
      <w:r w:rsidR="00917686" w:rsidRPr="001B0A83">
        <w:rPr>
          <w:bCs/>
          <w:sz w:val="20"/>
          <w:szCs w:val="20"/>
        </w:rPr>
        <w:t xml:space="preserve"> </w:t>
      </w:r>
      <w:r w:rsidR="001B0A83" w:rsidRPr="001B0A83">
        <w:rPr>
          <w:bCs/>
          <w:sz w:val="20"/>
          <w:szCs w:val="20"/>
        </w:rPr>
        <w:t>into a diagnostic test and bring the test to market.</w:t>
      </w:r>
    </w:p>
    <w:p w14:paraId="3431149A" w14:textId="21B6B774" w:rsidR="00637C2F" w:rsidRDefault="00297E33" w:rsidP="00E45A85">
      <w:pPr>
        <w:spacing w:before="240" w:line="360" w:lineRule="auto"/>
        <w:rPr>
          <w:bCs/>
          <w:sz w:val="20"/>
          <w:szCs w:val="20"/>
        </w:rPr>
      </w:pPr>
      <w:r w:rsidRPr="00297E33">
        <w:rPr>
          <w:bCs/>
          <w:sz w:val="20"/>
          <w:szCs w:val="20"/>
        </w:rPr>
        <w:t xml:space="preserve"> </w:t>
      </w:r>
      <w:r>
        <w:rPr>
          <w:bCs/>
          <w:sz w:val="20"/>
          <w:szCs w:val="20"/>
        </w:rPr>
        <w:t xml:space="preserve">CEO Dr. </w:t>
      </w:r>
      <w:r w:rsidR="00637C2F">
        <w:rPr>
          <w:bCs/>
          <w:sz w:val="20"/>
          <w:szCs w:val="20"/>
        </w:rPr>
        <w:t>Robert E. W. Hancock stated, “</w:t>
      </w:r>
      <w:r w:rsidRPr="00297E33">
        <w:rPr>
          <w:bCs/>
          <w:sz w:val="20"/>
          <w:szCs w:val="20"/>
        </w:rPr>
        <w:t xml:space="preserve">Patents are the lifeblood of </w:t>
      </w:r>
      <w:r w:rsidR="00637C2F">
        <w:rPr>
          <w:bCs/>
          <w:sz w:val="20"/>
          <w:szCs w:val="20"/>
        </w:rPr>
        <w:t>biotech</w:t>
      </w:r>
      <w:r w:rsidRPr="00297E33">
        <w:rPr>
          <w:bCs/>
          <w:sz w:val="20"/>
          <w:szCs w:val="20"/>
        </w:rPr>
        <w:t>. This validates the novelty of our technology in major market</w:t>
      </w:r>
      <w:r w:rsidR="00637C2F">
        <w:rPr>
          <w:bCs/>
          <w:sz w:val="20"/>
          <w:szCs w:val="20"/>
        </w:rPr>
        <w:t>s.”</w:t>
      </w:r>
    </w:p>
    <w:p w14:paraId="69C9C986" w14:textId="032BFFA4" w:rsidR="00EF7A39" w:rsidRDefault="00EF7A39" w:rsidP="00E45A85">
      <w:pPr>
        <w:spacing w:before="240" w:line="360" w:lineRule="auto"/>
        <w:rPr>
          <w:b/>
          <w:sz w:val="20"/>
          <w:szCs w:val="20"/>
        </w:rPr>
      </w:pPr>
      <w:r w:rsidRPr="00DD33D2">
        <w:rPr>
          <w:bCs/>
          <w:sz w:val="20"/>
          <w:szCs w:val="20"/>
        </w:rPr>
        <w:t>Tim Murphy, the COO, commented, “The expansion of Asep Inc.’s patent coverage in Europe and Australia represents an important step for the company towards commercialization of the Sepset</w:t>
      </w:r>
      <w:r w:rsidRPr="00DD33D2">
        <w:rPr>
          <w:bCs/>
          <w:sz w:val="20"/>
          <w:szCs w:val="20"/>
          <w:vertAlign w:val="superscript"/>
        </w:rPr>
        <w:t>ER</w:t>
      </w:r>
      <w:r w:rsidRPr="00DD33D2">
        <w:rPr>
          <w:bCs/>
          <w:sz w:val="20"/>
          <w:szCs w:val="20"/>
        </w:rPr>
        <w:t xml:space="preserve"> test.</w:t>
      </w:r>
      <w:r w:rsidRPr="00EF7A39">
        <w:rPr>
          <w:b/>
          <w:sz w:val="20"/>
          <w:szCs w:val="20"/>
        </w:rPr>
        <w:t>”</w:t>
      </w:r>
    </w:p>
    <w:p w14:paraId="740684A6" w14:textId="53C36F06" w:rsidR="00441EC2" w:rsidRDefault="00000000">
      <w:pPr>
        <w:spacing w:before="240" w:line="360" w:lineRule="auto"/>
        <w:rPr>
          <w:sz w:val="20"/>
          <w:szCs w:val="20"/>
        </w:rPr>
      </w:pPr>
      <w:r>
        <w:rPr>
          <w:b/>
          <w:sz w:val="20"/>
          <w:szCs w:val="20"/>
        </w:rPr>
        <w:t>ABOUT ASEP MEDICAL HOLDINGS INC.</w:t>
      </w:r>
      <w:r>
        <w:rPr>
          <w:b/>
          <w:sz w:val="20"/>
          <w:szCs w:val="20"/>
        </w:rPr>
        <w:br/>
      </w:r>
      <w:r>
        <w:rPr>
          <w:sz w:val="20"/>
          <w:szCs w:val="20"/>
        </w:rPr>
        <w:t xml:space="preserve">Asep </w:t>
      </w:r>
      <w:r w:rsidR="00E96921">
        <w:rPr>
          <w:sz w:val="20"/>
          <w:szCs w:val="20"/>
        </w:rPr>
        <w:t xml:space="preserve">Medical </w:t>
      </w:r>
      <w:r>
        <w:rPr>
          <w:sz w:val="20"/>
          <w:szCs w:val="20"/>
        </w:rPr>
        <w:t xml:space="preserve">Inc. </w:t>
      </w:r>
      <w:r w:rsidR="00E96921">
        <w:rPr>
          <w:sz w:val="20"/>
          <w:szCs w:val="20"/>
        </w:rPr>
        <w:t>(</w:t>
      </w:r>
      <w:hyperlink r:id="rId7" w:history="1">
        <w:r w:rsidR="0023439B">
          <w:rPr>
            <w:rStyle w:val="Hyperlink"/>
            <w:sz w:val="20"/>
            <w:szCs w:val="20"/>
          </w:rPr>
          <w:t>asepmedical.com</w:t>
        </w:r>
      </w:hyperlink>
      <w:r w:rsidR="00E96921">
        <w:rPr>
          <w:sz w:val="20"/>
          <w:szCs w:val="20"/>
        </w:rPr>
        <w:t xml:space="preserve">) </w:t>
      </w:r>
      <w:r>
        <w:rPr>
          <w:sz w:val="20"/>
          <w:szCs w:val="20"/>
        </w:rPr>
        <w:t>is dedicated to addressing antibiotic failure by developing novel solutions for significant unmet medical needs. The Company is a consolidation of two existing private companies (Sepset Biosciences Inc. and ABT Innovations Inc.) that are both in the advanced development of both proprietary diagnostic tools, enabling the early and timely identification of severe sepsis as well as broad-spectrum therapeutic agents to address multidrug-resistant biofilm infections.</w:t>
      </w:r>
    </w:p>
    <w:p w14:paraId="391BC479" w14:textId="1BFBEEE7" w:rsidR="00441EC2" w:rsidRDefault="00000000">
      <w:pPr>
        <w:spacing w:before="240" w:line="360" w:lineRule="auto"/>
        <w:rPr>
          <w:sz w:val="20"/>
          <w:szCs w:val="20"/>
        </w:rPr>
      </w:pPr>
      <w:r>
        <w:rPr>
          <w:sz w:val="20"/>
          <w:szCs w:val="20"/>
        </w:rPr>
        <w:t xml:space="preserve">Sepset Biosciences Inc. </w:t>
      </w:r>
      <w:r w:rsidR="00E96921">
        <w:rPr>
          <w:sz w:val="20"/>
          <w:szCs w:val="20"/>
        </w:rPr>
        <w:t>(</w:t>
      </w:r>
      <w:hyperlink r:id="rId8" w:history="1">
        <w:r w:rsidR="0023439B">
          <w:rPr>
            <w:rStyle w:val="Hyperlink"/>
            <w:sz w:val="20"/>
            <w:szCs w:val="20"/>
          </w:rPr>
          <w:t>sepset.ca</w:t>
        </w:r>
      </w:hyperlink>
      <w:r w:rsidR="00E96921">
        <w:rPr>
          <w:sz w:val="20"/>
          <w:szCs w:val="20"/>
        </w:rPr>
        <w:t xml:space="preserve">) </w:t>
      </w:r>
      <w:r>
        <w:rPr>
          <w:sz w:val="20"/>
          <w:szCs w:val="20"/>
        </w:rPr>
        <w:t>is developing a diagnostic technology that involves a patient gene expression signature that predicts severe sepsis, one of the significant diseases leading to antibiotic failure since antibiotics are the primary treatment for sepsis. Despite this, sepsis is responsible for nearly 20% of all deaths on the planet. The Sepset</w:t>
      </w:r>
      <w:r>
        <w:rPr>
          <w:sz w:val="20"/>
          <w:szCs w:val="20"/>
          <w:vertAlign w:val="superscript"/>
        </w:rPr>
        <w:t>ER</w:t>
      </w:r>
      <w:r>
        <w:rPr>
          <w:sz w:val="20"/>
          <w:szCs w:val="20"/>
        </w:rPr>
        <w:t xml:space="preserve"> test is a blood-based gene expression assay that is straightforward to implement, and results are obtained in about an hour in the emergency room or intensive care unit. This proprietary diagnostic technology differs from current diagnostic tests in enabling diagnosis of severe sepsis within 1-2 hours of first clinical presentation (i.e., in the emergency room), while other diagnostics only provide diagnosis after 24-36 hours. Asep Inc. believes this will enable critical early decisions to be made by physicians regarding appropriate therapies and reduce overall morbidity and mortality due to sepsis.</w:t>
      </w:r>
    </w:p>
    <w:p w14:paraId="794D2CA5" w14:textId="7334DD70" w:rsidR="00441EC2" w:rsidRDefault="00000000">
      <w:pPr>
        <w:spacing w:before="240" w:line="360" w:lineRule="auto"/>
        <w:rPr>
          <w:sz w:val="20"/>
          <w:szCs w:val="20"/>
        </w:rPr>
      </w:pPr>
      <w:r>
        <w:rPr>
          <w:sz w:val="20"/>
          <w:szCs w:val="20"/>
        </w:rPr>
        <w:t xml:space="preserve">ABT Innovations Inc.'s </w:t>
      </w:r>
      <w:r w:rsidR="0023439B">
        <w:rPr>
          <w:sz w:val="20"/>
          <w:szCs w:val="20"/>
        </w:rPr>
        <w:t>(</w:t>
      </w:r>
      <w:hyperlink r:id="rId9" w:history="1">
        <w:r w:rsidR="0023439B" w:rsidRPr="0023439B">
          <w:rPr>
            <w:rStyle w:val="Hyperlink"/>
            <w:sz w:val="20"/>
            <w:szCs w:val="20"/>
          </w:rPr>
          <w:t>abtinnovations.ca</w:t>
        </w:r>
      </w:hyperlink>
      <w:r w:rsidR="0023439B">
        <w:rPr>
          <w:sz w:val="20"/>
          <w:szCs w:val="20"/>
        </w:rPr>
        <w:t xml:space="preserve">) </w:t>
      </w:r>
      <w:r>
        <w:rPr>
          <w:sz w:val="20"/>
          <w:szCs w:val="20"/>
        </w:rPr>
        <w:t xml:space="preserve">peptide technology covers a broad range of therapeutic applications, including bacterial biofilm infections (medical device infections, chronic infections, lung, bladder, wound, dental, skin, ear-nose and throat, sinusitis, orthopaedic, etc.), anti-inflammatories, anti-infective immune-modulators and vaccine adjuvants. </w:t>
      </w:r>
    </w:p>
    <w:p w14:paraId="20B6BC37" w14:textId="30B53403" w:rsidR="00441EC2" w:rsidRDefault="00000000">
      <w:pPr>
        <w:spacing w:before="240" w:line="360" w:lineRule="auto"/>
        <w:rPr>
          <w:sz w:val="20"/>
          <w:szCs w:val="20"/>
        </w:rPr>
      </w:pPr>
      <w:r>
        <w:rPr>
          <w:b/>
          <w:sz w:val="20"/>
          <w:szCs w:val="20"/>
        </w:rPr>
        <w:lastRenderedPageBreak/>
        <w:t>FOR MORE INFORMATION, PLEASE CONTACT —</w:t>
      </w:r>
      <w:r>
        <w:rPr>
          <w:b/>
          <w:sz w:val="20"/>
          <w:szCs w:val="20"/>
        </w:rPr>
        <w:br/>
      </w:r>
      <w:r w:rsidR="00B3611A">
        <w:rPr>
          <w:sz w:val="20"/>
          <w:szCs w:val="20"/>
        </w:rPr>
        <w:t>Chris Dallin, Marketing Director</w:t>
      </w:r>
      <w:r>
        <w:rPr>
          <w:sz w:val="20"/>
          <w:szCs w:val="20"/>
        </w:rPr>
        <w:br/>
        <w:t>Asep Medical Holdings Inc.</w:t>
      </w:r>
      <w:r>
        <w:rPr>
          <w:sz w:val="20"/>
          <w:szCs w:val="20"/>
        </w:rPr>
        <w:br/>
        <w:t xml:space="preserve">E. </w:t>
      </w:r>
      <w:r w:rsidR="00B3611A">
        <w:rPr>
          <w:sz w:val="20"/>
          <w:szCs w:val="20"/>
        </w:rPr>
        <w:t>chris</w:t>
      </w:r>
      <w:r>
        <w:rPr>
          <w:sz w:val="20"/>
          <w:szCs w:val="20"/>
        </w:rPr>
        <w:t>@asepmedical.com</w:t>
      </w:r>
      <w:r>
        <w:rPr>
          <w:sz w:val="20"/>
          <w:szCs w:val="20"/>
        </w:rPr>
        <w:br/>
        <w:t>T. +1 (</w:t>
      </w:r>
      <w:r w:rsidR="00B3611A">
        <w:rPr>
          <w:sz w:val="20"/>
          <w:szCs w:val="20"/>
        </w:rPr>
        <w:t>604) 362.3654</w:t>
      </w:r>
    </w:p>
    <w:p w14:paraId="033C0A81" w14:textId="5427C5E3" w:rsidR="00B64F06" w:rsidRDefault="00000000" w:rsidP="001C391F">
      <w:pPr>
        <w:spacing w:before="240" w:line="360" w:lineRule="auto"/>
        <w:rPr>
          <w:sz w:val="20"/>
          <w:szCs w:val="20"/>
        </w:rPr>
      </w:pPr>
      <w:r>
        <w:rPr>
          <w:b/>
          <w:sz w:val="20"/>
          <w:szCs w:val="20"/>
        </w:rPr>
        <w:t>FORWARD-LOOKING STATEMENTS —</w:t>
      </w:r>
      <w:r>
        <w:rPr>
          <w:b/>
          <w:sz w:val="20"/>
          <w:szCs w:val="20"/>
        </w:rPr>
        <w:br/>
      </w:r>
      <w:r>
        <w:rPr>
          <w:sz w:val="20"/>
          <w:szCs w:val="20"/>
        </w:rPr>
        <w:t xml:space="preserve">This news release contains certain "forward-looking statements" within the meaning of such statements under applicable securities law. Forward-looking statements are frequently characterized by words such as "anticipates", "plan", "continue", "expect", "project", "intend", "believe", "anticipate", "estimate", "may", "will", "potential", "proposed", "positioned" and other similar words, or statements that certain events or conditions "may" or "will" occur. These statements </w:t>
      </w:r>
      <w:r w:rsidR="00CB702C">
        <w:rPr>
          <w:sz w:val="20"/>
          <w:szCs w:val="20"/>
        </w:rPr>
        <w:t>include</w:t>
      </w:r>
      <w:r>
        <w:rPr>
          <w:sz w:val="20"/>
          <w:szCs w:val="20"/>
        </w:rPr>
        <w:t xml:space="preserve"> but </w:t>
      </w:r>
      <w:r w:rsidR="00CB702C">
        <w:rPr>
          <w:sz w:val="20"/>
          <w:szCs w:val="20"/>
        </w:rPr>
        <w:t xml:space="preserve">are </w:t>
      </w:r>
      <w:r>
        <w:rPr>
          <w:sz w:val="20"/>
          <w:szCs w:val="20"/>
        </w:rPr>
        <w:t xml:space="preserve">not limited to the completion of successful clinical testing of our Sepsis diagnostic test and its intended filing for regulatory approval; and the undertaking of pre-clinical studies on our lead therapeutic, with the expectation that this will lead to </w:t>
      </w:r>
      <w:r w:rsidR="00CB702C">
        <w:rPr>
          <w:sz w:val="20"/>
          <w:szCs w:val="20"/>
        </w:rPr>
        <w:t>fast-track</w:t>
      </w:r>
      <w:r>
        <w:rPr>
          <w:sz w:val="20"/>
          <w:szCs w:val="20"/>
        </w:rPr>
        <w:t xml:space="preserve"> clinical trials. Various assumptions were used in drawing conclusions or making the predictions contained in the forward-looking statements throughout this news release. Forward-looking statements are based on the opinions and estimates of management at the date the statements are made and are subject to a variety of risks (including those risk factors identified in the Asep Medical Inc.’s prospectus dated November 9, 2021) available for review under the Company’s profile at www.sedar.com and uncertainties and other factors that could cause actual events or results to differ materially from those projected in the forward-looking statements. Asep Medical Inc. is under no obligation, and expressly disclaims any intention or obligation, to update or revise any forward-looking statements, whether as a result of new information, future events or otherwise, except as expressly required by applicable law.</w:t>
      </w:r>
    </w:p>
    <w:sectPr w:rsidR="00B64F06">
      <w:headerReference w:type="default" r:id="rId10"/>
      <w:footerReference w:type="even" r:id="rId11"/>
      <w:footerReference w:type="default" r:id="rId12"/>
      <w:pgSz w:w="12240" w:h="15840"/>
      <w:pgMar w:top="3190" w:right="1440" w:bottom="1440" w:left="1440" w:header="22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1655" w14:textId="77777777" w:rsidR="000F529C" w:rsidRDefault="000F529C">
      <w:r>
        <w:separator/>
      </w:r>
    </w:p>
  </w:endnote>
  <w:endnote w:type="continuationSeparator" w:id="0">
    <w:p w14:paraId="6FE3EE85" w14:textId="77777777" w:rsidR="000F529C" w:rsidRDefault="000F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8EFD" w14:textId="77777777" w:rsidR="00441EC2" w:rsidRDefault="00000000">
    <w:pPr>
      <w:pBdr>
        <w:top w:val="nil"/>
        <w:left w:val="nil"/>
        <w:bottom w:val="nil"/>
        <w:right w:val="nil"/>
        <w:between w:val="nil"/>
      </w:pBdr>
      <w:tabs>
        <w:tab w:val="center" w:pos="4680"/>
        <w:tab w:val="right" w:pos="9360"/>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color w:val="000000"/>
      </w:rPr>
      <w:fldChar w:fldCharType="end"/>
    </w:r>
  </w:p>
  <w:p w14:paraId="1089788C" w14:textId="77777777" w:rsidR="00441EC2" w:rsidRDefault="00441EC2">
    <w:pPr>
      <w:pBdr>
        <w:top w:val="nil"/>
        <w:left w:val="nil"/>
        <w:bottom w:val="nil"/>
        <w:right w:val="nil"/>
        <w:between w:val="nil"/>
      </w:pBdr>
      <w:tabs>
        <w:tab w:val="center" w:pos="4680"/>
        <w:tab w:val="right" w:pos="9360"/>
      </w:tabs>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C5AF" w14:textId="77777777" w:rsidR="00441EC2" w:rsidRPr="008D0239" w:rsidRDefault="00000000">
    <w:pPr>
      <w:pBdr>
        <w:top w:val="nil"/>
        <w:left w:val="nil"/>
        <w:bottom w:val="nil"/>
        <w:right w:val="nil"/>
        <w:between w:val="nil"/>
      </w:pBdr>
      <w:tabs>
        <w:tab w:val="center" w:pos="4680"/>
        <w:tab w:val="right" w:pos="9360"/>
      </w:tabs>
      <w:jc w:val="right"/>
      <w:rPr>
        <w:rFonts w:eastAsia="Calibri"/>
        <w:color w:val="000000"/>
        <w:sz w:val="16"/>
        <w:szCs w:val="16"/>
      </w:rPr>
    </w:pPr>
    <w:r w:rsidRPr="008D0239">
      <w:rPr>
        <w:rFonts w:eastAsia="Calibri"/>
        <w:color w:val="000000"/>
        <w:sz w:val="16"/>
        <w:szCs w:val="16"/>
      </w:rPr>
      <w:fldChar w:fldCharType="begin"/>
    </w:r>
    <w:r w:rsidRPr="00E50ABB">
      <w:rPr>
        <w:rFonts w:eastAsia="Calibri"/>
        <w:color w:val="000000"/>
        <w:sz w:val="16"/>
        <w:szCs w:val="16"/>
      </w:rPr>
      <w:instrText>PAGE</w:instrText>
    </w:r>
    <w:r w:rsidRPr="008D0239">
      <w:rPr>
        <w:rFonts w:eastAsia="Calibri"/>
        <w:color w:val="000000"/>
        <w:sz w:val="16"/>
        <w:szCs w:val="16"/>
      </w:rPr>
      <w:fldChar w:fldCharType="separate"/>
    </w:r>
    <w:r w:rsidR="00C555FD" w:rsidRPr="00E50ABB">
      <w:rPr>
        <w:rFonts w:eastAsia="Calibri"/>
        <w:noProof/>
        <w:color w:val="000000"/>
        <w:sz w:val="16"/>
        <w:szCs w:val="16"/>
      </w:rPr>
      <w:t>1</w:t>
    </w:r>
    <w:r w:rsidRPr="008D0239">
      <w:rPr>
        <w:rFonts w:eastAsia="Calibri"/>
        <w:color w:val="000000"/>
        <w:sz w:val="16"/>
        <w:szCs w:val="16"/>
      </w:rPr>
      <w:fldChar w:fldCharType="end"/>
    </w:r>
  </w:p>
  <w:p w14:paraId="3BBEBFB0" w14:textId="77777777" w:rsidR="00441EC2" w:rsidRDefault="00441EC2">
    <w:pPr>
      <w:pBdr>
        <w:top w:val="nil"/>
        <w:left w:val="nil"/>
        <w:bottom w:val="nil"/>
        <w:right w:val="nil"/>
        <w:between w:val="nil"/>
      </w:pBdr>
      <w:tabs>
        <w:tab w:val="center" w:pos="4680"/>
        <w:tab w:val="right" w:pos="9360"/>
      </w:tabs>
      <w:ind w:right="360"/>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1659" w14:textId="77777777" w:rsidR="000F529C" w:rsidRDefault="000F529C">
      <w:r>
        <w:separator/>
      </w:r>
    </w:p>
  </w:footnote>
  <w:footnote w:type="continuationSeparator" w:id="0">
    <w:p w14:paraId="50498CB9" w14:textId="77777777" w:rsidR="000F529C" w:rsidRDefault="000F5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52FD" w14:textId="77777777" w:rsidR="001C45D2" w:rsidRDefault="00000000">
    <w:pPr>
      <w:pBdr>
        <w:top w:val="nil"/>
        <w:left w:val="nil"/>
        <w:bottom w:val="nil"/>
        <w:right w:val="nil"/>
        <w:between w:val="nil"/>
      </w:pBdr>
      <w:tabs>
        <w:tab w:val="center" w:pos="4680"/>
        <w:tab w:val="right" w:pos="9360"/>
      </w:tabs>
      <w:jc w:val="center"/>
      <w:rPr>
        <w:rFonts w:eastAsia="Calibri"/>
        <w:color w:val="595959"/>
        <w:sz w:val="20"/>
        <w:szCs w:val="20"/>
      </w:rPr>
    </w:pPr>
    <w:r>
      <w:rPr>
        <w:rFonts w:ascii="Helvetica Neue" w:eastAsia="Helvetica Neue" w:hAnsi="Helvetica Neue" w:cs="Helvetica Neue"/>
        <w:color w:val="595959"/>
        <w:sz w:val="20"/>
        <w:szCs w:val="20"/>
      </w:rPr>
      <w:t>Asep Medical Holdings Inc</w:t>
    </w:r>
    <w:r>
      <w:rPr>
        <w:rFonts w:eastAsia="Calibri"/>
        <w:color w:val="595959"/>
        <w:sz w:val="20"/>
        <w:szCs w:val="20"/>
      </w:rPr>
      <w:t>.</w:t>
    </w:r>
  </w:p>
  <w:p w14:paraId="73A58E2F" w14:textId="0B8D46DF" w:rsidR="00441EC2" w:rsidRPr="004229C4" w:rsidRDefault="00000000">
    <w:pPr>
      <w:pBdr>
        <w:top w:val="nil"/>
        <w:left w:val="nil"/>
        <w:bottom w:val="nil"/>
        <w:right w:val="nil"/>
        <w:between w:val="nil"/>
      </w:pBdr>
      <w:tabs>
        <w:tab w:val="center" w:pos="4680"/>
        <w:tab w:val="right" w:pos="9360"/>
      </w:tabs>
      <w:jc w:val="center"/>
      <w:rPr>
        <w:rFonts w:eastAsia="Calibri"/>
        <w:b/>
        <w:bCs/>
        <w:i/>
        <w:iCs/>
        <w:color w:val="000000"/>
        <w:sz w:val="20"/>
        <w:szCs w:val="20"/>
      </w:rPr>
    </w:pPr>
    <w:r w:rsidRPr="004229C4">
      <w:rPr>
        <w:b/>
        <w:bCs/>
        <w:i/>
        <w:iCs/>
        <w:noProof/>
      </w:rPr>
      <w:drawing>
        <wp:anchor distT="0" distB="0" distL="114300" distR="114300" simplePos="0" relativeHeight="251658240" behindDoc="0" locked="0" layoutInCell="1" hidden="0" allowOverlap="1" wp14:anchorId="0B7FB55F" wp14:editId="3D5DB9C1">
          <wp:simplePos x="0" y="0"/>
          <wp:positionH relativeFrom="column">
            <wp:posOffset>2179954</wp:posOffset>
          </wp:positionH>
          <wp:positionV relativeFrom="paragraph">
            <wp:posOffset>-955038</wp:posOffset>
          </wp:positionV>
          <wp:extent cx="1347470" cy="768350"/>
          <wp:effectExtent l="0" t="0" r="0" b="0"/>
          <wp:wrapSquare wrapText="bothSides" distT="0" distB="0" distL="114300" distR="114300"/>
          <wp:docPr id="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1"/>
                  <a:srcRect/>
                  <a:stretch>
                    <a:fillRect/>
                  </a:stretch>
                </pic:blipFill>
                <pic:spPr>
                  <a:xfrm>
                    <a:off x="0" y="0"/>
                    <a:ext cx="1347470" cy="7683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C2"/>
    <w:rsid w:val="000005DB"/>
    <w:rsid w:val="0000558A"/>
    <w:rsid w:val="000466BB"/>
    <w:rsid w:val="00073C45"/>
    <w:rsid w:val="00074051"/>
    <w:rsid w:val="000F529C"/>
    <w:rsid w:val="001B0A83"/>
    <w:rsid w:val="001C391F"/>
    <w:rsid w:val="001C45D2"/>
    <w:rsid w:val="001D4A5F"/>
    <w:rsid w:val="001F742F"/>
    <w:rsid w:val="002035A2"/>
    <w:rsid w:val="0023439B"/>
    <w:rsid w:val="00246A9B"/>
    <w:rsid w:val="002628E1"/>
    <w:rsid w:val="00297E33"/>
    <w:rsid w:val="002A33D2"/>
    <w:rsid w:val="002D4C51"/>
    <w:rsid w:val="0038437B"/>
    <w:rsid w:val="00387689"/>
    <w:rsid w:val="003A4B2A"/>
    <w:rsid w:val="003C5888"/>
    <w:rsid w:val="00402B47"/>
    <w:rsid w:val="00405039"/>
    <w:rsid w:val="004229C4"/>
    <w:rsid w:val="00441EC2"/>
    <w:rsid w:val="00461AA9"/>
    <w:rsid w:val="00470224"/>
    <w:rsid w:val="004A58A6"/>
    <w:rsid w:val="004A5E2B"/>
    <w:rsid w:val="004A61EB"/>
    <w:rsid w:val="004C7E98"/>
    <w:rsid w:val="00583689"/>
    <w:rsid w:val="00602C61"/>
    <w:rsid w:val="00605D01"/>
    <w:rsid w:val="006340C7"/>
    <w:rsid w:val="00634671"/>
    <w:rsid w:val="00635D2F"/>
    <w:rsid w:val="00637B34"/>
    <w:rsid w:val="00637C2F"/>
    <w:rsid w:val="00671481"/>
    <w:rsid w:val="0068082C"/>
    <w:rsid w:val="006E097E"/>
    <w:rsid w:val="00713BAD"/>
    <w:rsid w:val="00722C1B"/>
    <w:rsid w:val="007503DD"/>
    <w:rsid w:val="00751E67"/>
    <w:rsid w:val="007A63B7"/>
    <w:rsid w:val="007C1C82"/>
    <w:rsid w:val="00806A0E"/>
    <w:rsid w:val="00835BF7"/>
    <w:rsid w:val="00865E9F"/>
    <w:rsid w:val="008979D2"/>
    <w:rsid w:val="008C4468"/>
    <w:rsid w:val="008D0239"/>
    <w:rsid w:val="008E701C"/>
    <w:rsid w:val="00901ECF"/>
    <w:rsid w:val="00917686"/>
    <w:rsid w:val="00957C0C"/>
    <w:rsid w:val="00977DF6"/>
    <w:rsid w:val="00983DCE"/>
    <w:rsid w:val="009872C6"/>
    <w:rsid w:val="009A5C58"/>
    <w:rsid w:val="00A22FC2"/>
    <w:rsid w:val="00A71557"/>
    <w:rsid w:val="00A95584"/>
    <w:rsid w:val="00AB296E"/>
    <w:rsid w:val="00AC319C"/>
    <w:rsid w:val="00AD452A"/>
    <w:rsid w:val="00AE3130"/>
    <w:rsid w:val="00B022F5"/>
    <w:rsid w:val="00B33E86"/>
    <w:rsid w:val="00B3611A"/>
    <w:rsid w:val="00B64F06"/>
    <w:rsid w:val="00BD4F4D"/>
    <w:rsid w:val="00BE50F2"/>
    <w:rsid w:val="00C555FD"/>
    <w:rsid w:val="00C7275C"/>
    <w:rsid w:val="00C940D3"/>
    <w:rsid w:val="00CB702C"/>
    <w:rsid w:val="00CC7E26"/>
    <w:rsid w:val="00CE7B23"/>
    <w:rsid w:val="00D057CB"/>
    <w:rsid w:val="00DC5A2E"/>
    <w:rsid w:val="00DD33D2"/>
    <w:rsid w:val="00DD6A10"/>
    <w:rsid w:val="00DD70C5"/>
    <w:rsid w:val="00E03A4B"/>
    <w:rsid w:val="00E23489"/>
    <w:rsid w:val="00E25797"/>
    <w:rsid w:val="00E45A85"/>
    <w:rsid w:val="00E50ABB"/>
    <w:rsid w:val="00E5484F"/>
    <w:rsid w:val="00E561B3"/>
    <w:rsid w:val="00E67E53"/>
    <w:rsid w:val="00E7492A"/>
    <w:rsid w:val="00E760B5"/>
    <w:rsid w:val="00E96921"/>
    <w:rsid w:val="00EE6A08"/>
    <w:rsid w:val="00EF7A39"/>
    <w:rsid w:val="00F406B1"/>
    <w:rsid w:val="00F563CB"/>
    <w:rsid w:val="00F8755A"/>
    <w:rsid w:val="00FB2F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B1BB"/>
  <w15:docId w15:val="{19899781-FDB1-FD48-B7AC-5B6C243D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31F5C"/>
    <w:pPr>
      <w:tabs>
        <w:tab w:val="center" w:pos="4680"/>
        <w:tab w:val="right" w:pos="9360"/>
      </w:tabs>
    </w:pPr>
  </w:style>
  <w:style w:type="character" w:customStyle="1" w:styleId="HeaderChar">
    <w:name w:val="Header Char"/>
    <w:basedOn w:val="DefaultParagraphFont"/>
    <w:link w:val="Header"/>
    <w:uiPriority w:val="99"/>
    <w:rsid w:val="00531F5C"/>
  </w:style>
  <w:style w:type="paragraph" w:styleId="Footer">
    <w:name w:val="footer"/>
    <w:basedOn w:val="Normal"/>
    <w:link w:val="FooterChar"/>
    <w:uiPriority w:val="99"/>
    <w:unhideWhenUsed/>
    <w:rsid w:val="00531F5C"/>
    <w:pPr>
      <w:tabs>
        <w:tab w:val="center" w:pos="4680"/>
        <w:tab w:val="right" w:pos="9360"/>
      </w:tabs>
    </w:pPr>
  </w:style>
  <w:style w:type="character" w:customStyle="1" w:styleId="FooterChar">
    <w:name w:val="Footer Char"/>
    <w:basedOn w:val="DefaultParagraphFont"/>
    <w:link w:val="Footer"/>
    <w:uiPriority w:val="99"/>
    <w:rsid w:val="00531F5C"/>
  </w:style>
  <w:style w:type="paragraph" w:styleId="NormalWeb">
    <w:name w:val="Normal (Web)"/>
    <w:basedOn w:val="Normal"/>
    <w:uiPriority w:val="99"/>
    <w:unhideWhenUsed/>
    <w:rsid w:val="00531F5C"/>
    <w:pPr>
      <w:spacing w:before="100" w:beforeAutospacing="1" w:after="100" w:afterAutospacing="1"/>
    </w:pPr>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531F5C"/>
  </w:style>
  <w:style w:type="character" w:styleId="CommentReference">
    <w:name w:val="annotation reference"/>
    <w:basedOn w:val="DefaultParagraphFont"/>
    <w:uiPriority w:val="99"/>
    <w:semiHidden/>
    <w:unhideWhenUsed/>
    <w:rsid w:val="00181FE2"/>
    <w:rPr>
      <w:sz w:val="16"/>
      <w:szCs w:val="16"/>
    </w:rPr>
  </w:style>
  <w:style w:type="paragraph" w:styleId="CommentText">
    <w:name w:val="annotation text"/>
    <w:basedOn w:val="Normal"/>
    <w:link w:val="CommentTextChar"/>
    <w:uiPriority w:val="99"/>
    <w:semiHidden/>
    <w:unhideWhenUsed/>
    <w:rsid w:val="00181FE2"/>
    <w:pPr>
      <w:widowControl w:val="0"/>
    </w:pPr>
    <w:rPr>
      <w:rFonts w:eastAsia="Times New Roman" w:cs="Times New Roman"/>
      <w:snapToGrid w:val="0"/>
      <w:sz w:val="20"/>
      <w:szCs w:val="20"/>
      <w:lang w:val="en-US"/>
    </w:rPr>
  </w:style>
  <w:style w:type="character" w:customStyle="1" w:styleId="CommentTextChar">
    <w:name w:val="Comment Text Char"/>
    <w:basedOn w:val="DefaultParagraphFont"/>
    <w:link w:val="CommentText"/>
    <w:uiPriority w:val="99"/>
    <w:semiHidden/>
    <w:rsid w:val="00181FE2"/>
    <w:rPr>
      <w:rFonts w:eastAsia="Times New Roman" w:cs="Times New Roman"/>
      <w:snapToGrid w:val="0"/>
      <w:sz w:val="20"/>
      <w:szCs w:val="20"/>
      <w:lang w:val="en-US"/>
    </w:rPr>
  </w:style>
  <w:style w:type="paragraph" w:styleId="NoSpacing">
    <w:name w:val="No Spacing"/>
    <w:uiPriority w:val="1"/>
    <w:qFormat/>
    <w:rsid w:val="00FF59C4"/>
    <w:rPr>
      <w:rFonts w:eastAsiaTheme="minorEastAsia"/>
    </w:rPr>
  </w:style>
  <w:style w:type="character" w:styleId="Hyperlink">
    <w:name w:val="Hyperlink"/>
    <w:basedOn w:val="DefaultParagraphFont"/>
    <w:uiPriority w:val="99"/>
    <w:unhideWhenUsed/>
    <w:rsid w:val="002B7F34"/>
    <w:rPr>
      <w:color w:val="0563C1" w:themeColor="hyperlink"/>
      <w:u w:val="single"/>
    </w:rPr>
  </w:style>
  <w:style w:type="character" w:styleId="UnresolvedMention">
    <w:name w:val="Unresolved Mention"/>
    <w:basedOn w:val="DefaultParagraphFont"/>
    <w:uiPriority w:val="99"/>
    <w:semiHidden/>
    <w:unhideWhenUsed/>
    <w:rsid w:val="002B7F34"/>
    <w:rPr>
      <w:color w:val="605E5C"/>
      <w:shd w:val="clear" w:color="auto" w:fill="E1DFDD"/>
    </w:rPr>
  </w:style>
  <w:style w:type="character" w:styleId="FollowedHyperlink">
    <w:name w:val="FollowedHyperlink"/>
    <w:basedOn w:val="DefaultParagraphFont"/>
    <w:uiPriority w:val="99"/>
    <w:semiHidden/>
    <w:unhideWhenUsed/>
    <w:rsid w:val="005A593A"/>
    <w:rPr>
      <w:color w:val="954F72" w:themeColor="followedHyperlink"/>
      <w:u w:val="single"/>
    </w:rPr>
  </w:style>
  <w:style w:type="paragraph" w:styleId="Revision">
    <w:name w:val="Revision"/>
    <w:hidden/>
    <w:uiPriority w:val="99"/>
    <w:semiHidden/>
    <w:rsid w:val="00B42EF0"/>
    <w:rPr>
      <w:rFonts w:eastAsiaTheme="minorEastAsia"/>
    </w:rPr>
  </w:style>
  <w:style w:type="paragraph" w:styleId="CommentSubject">
    <w:name w:val="annotation subject"/>
    <w:basedOn w:val="CommentText"/>
    <w:next w:val="CommentText"/>
    <w:link w:val="CommentSubjectChar"/>
    <w:uiPriority w:val="99"/>
    <w:semiHidden/>
    <w:unhideWhenUsed/>
    <w:rsid w:val="00B42EF0"/>
    <w:pPr>
      <w:widowControl/>
    </w:pPr>
    <w:rPr>
      <w:rFonts w:eastAsiaTheme="minorEastAsia" w:cstheme="minorBidi"/>
      <w:b/>
      <w:bCs/>
      <w:snapToGrid/>
      <w:lang w:val="en-CA"/>
    </w:rPr>
  </w:style>
  <w:style w:type="character" w:customStyle="1" w:styleId="CommentSubjectChar">
    <w:name w:val="Comment Subject Char"/>
    <w:basedOn w:val="CommentTextChar"/>
    <w:link w:val="CommentSubject"/>
    <w:uiPriority w:val="99"/>
    <w:semiHidden/>
    <w:rsid w:val="00B42EF0"/>
    <w:rPr>
      <w:rFonts w:eastAsiaTheme="minorEastAsia" w:cs="Times New Roman"/>
      <w:b/>
      <w:bCs/>
      <w:snapToGrid/>
      <w:sz w:val="20"/>
      <w:szCs w:val="20"/>
      <w:lang w:val="en-US"/>
    </w:rPr>
  </w:style>
  <w:style w:type="paragraph" w:styleId="BodyText">
    <w:name w:val="Body Text"/>
    <w:basedOn w:val="Normal"/>
    <w:link w:val="BodyTextChar"/>
    <w:uiPriority w:val="99"/>
    <w:semiHidden/>
    <w:unhideWhenUsed/>
    <w:rsid w:val="008C30E5"/>
    <w:pPr>
      <w:spacing w:after="120"/>
    </w:pPr>
  </w:style>
  <w:style w:type="character" w:customStyle="1" w:styleId="BodyTextChar">
    <w:name w:val="Body Text Char"/>
    <w:basedOn w:val="DefaultParagraphFont"/>
    <w:link w:val="BodyText"/>
    <w:uiPriority w:val="99"/>
    <w:semiHidden/>
    <w:rsid w:val="008C30E5"/>
    <w:rPr>
      <w:rFonts w:eastAsiaTheme="minorEastAsia"/>
    </w:rPr>
  </w:style>
  <w:style w:type="paragraph" w:styleId="BalloonText">
    <w:name w:val="Balloon Text"/>
    <w:basedOn w:val="Normal"/>
    <w:link w:val="BalloonTextChar"/>
    <w:uiPriority w:val="99"/>
    <w:semiHidden/>
    <w:unhideWhenUsed/>
    <w:rsid w:val="008C3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0E5"/>
    <w:rPr>
      <w:rFonts w:ascii="Segoe UI" w:eastAsiaTheme="minorEastAsia"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white-space-pre">
    <w:name w:val="white-space-pre"/>
    <w:basedOn w:val="DefaultParagraphFont"/>
    <w:rsid w:val="00E4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5932">
      <w:bodyDiv w:val="1"/>
      <w:marLeft w:val="0"/>
      <w:marRight w:val="0"/>
      <w:marTop w:val="0"/>
      <w:marBottom w:val="0"/>
      <w:divBdr>
        <w:top w:val="none" w:sz="0" w:space="0" w:color="auto"/>
        <w:left w:val="none" w:sz="0" w:space="0" w:color="auto"/>
        <w:bottom w:val="none" w:sz="0" w:space="0" w:color="auto"/>
        <w:right w:val="none" w:sz="0" w:space="0" w:color="auto"/>
      </w:divBdr>
    </w:div>
    <w:div w:id="49159246">
      <w:bodyDiv w:val="1"/>
      <w:marLeft w:val="0"/>
      <w:marRight w:val="0"/>
      <w:marTop w:val="0"/>
      <w:marBottom w:val="0"/>
      <w:divBdr>
        <w:top w:val="none" w:sz="0" w:space="0" w:color="auto"/>
        <w:left w:val="none" w:sz="0" w:space="0" w:color="auto"/>
        <w:bottom w:val="none" w:sz="0" w:space="0" w:color="auto"/>
        <w:right w:val="none" w:sz="0" w:space="0" w:color="auto"/>
      </w:divBdr>
    </w:div>
    <w:div w:id="256064590">
      <w:bodyDiv w:val="1"/>
      <w:marLeft w:val="0"/>
      <w:marRight w:val="0"/>
      <w:marTop w:val="0"/>
      <w:marBottom w:val="0"/>
      <w:divBdr>
        <w:top w:val="none" w:sz="0" w:space="0" w:color="auto"/>
        <w:left w:val="none" w:sz="0" w:space="0" w:color="auto"/>
        <w:bottom w:val="none" w:sz="0" w:space="0" w:color="auto"/>
        <w:right w:val="none" w:sz="0" w:space="0" w:color="auto"/>
      </w:divBdr>
    </w:div>
    <w:div w:id="1139037641">
      <w:bodyDiv w:val="1"/>
      <w:marLeft w:val="0"/>
      <w:marRight w:val="0"/>
      <w:marTop w:val="0"/>
      <w:marBottom w:val="0"/>
      <w:divBdr>
        <w:top w:val="none" w:sz="0" w:space="0" w:color="auto"/>
        <w:left w:val="none" w:sz="0" w:space="0" w:color="auto"/>
        <w:bottom w:val="none" w:sz="0" w:space="0" w:color="auto"/>
        <w:right w:val="none" w:sz="0" w:space="0" w:color="auto"/>
      </w:divBdr>
    </w:div>
    <w:div w:id="1594046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pset.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epmedica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btinnovations.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OahkF4oAd76ZDvgBBXrkv5fA==">AMUW2mWbBiyapDxD+jiMHgpcrqdqBfB8p1LOK3sNHz4r059dcD/DMsPt7z6t6hFVUoYgVp/WdSiBddN5ADgxxe1d+y86vtzWdjtl5nj/wjARnBtp2wusitw=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Dallin</dc:creator>
  <cp:lastModifiedBy>Chris Dallin</cp:lastModifiedBy>
  <cp:revision>2</cp:revision>
  <dcterms:created xsi:type="dcterms:W3CDTF">2022-11-04T17:32:00Z</dcterms:created>
  <dcterms:modified xsi:type="dcterms:W3CDTF">2022-11-04T17:32:00Z</dcterms:modified>
</cp:coreProperties>
</file>